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06D" w:rsidRPr="005E706D" w:rsidRDefault="005E706D" w:rsidP="005E706D">
      <w:pPr>
        <w:keepNext/>
        <w:spacing w:before="240" w:after="60" w:line="240" w:lineRule="auto"/>
        <w:outlineLvl w:val="1"/>
        <w:rPr>
          <w:rFonts w:ascii="Calibri" w:eastAsia="Times New Roman" w:hAnsi="Calibri" w:cs="Times New Roman"/>
          <w:b/>
          <w:sz w:val="24"/>
          <w:szCs w:val="20"/>
          <w:lang w:val="es-ES_tradnl" w:eastAsia="es-ES"/>
        </w:rPr>
      </w:pPr>
      <w:bookmarkStart w:id="0" w:name="_Toc507534664"/>
      <w:r w:rsidRPr="005E706D">
        <w:rPr>
          <w:rFonts w:ascii="Calibri" w:eastAsia="Times New Roman" w:hAnsi="Calibri" w:cs="Times New Roman"/>
          <w:b/>
          <w:sz w:val="24"/>
          <w:szCs w:val="20"/>
          <w:lang w:val="es-ES_tradnl" w:eastAsia="es-ES"/>
        </w:rPr>
        <w:t>MR11 – Centrales y Maquinas Hidráulicas</w:t>
      </w:r>
      <w:bookmarkEnd w:id="0"/>
    </w:p>
    <w:tbl>
      <w:tblPr>
        <w:tblW w:w="9497" w:type="dxa"/>
        <w:tblInd w:w="-214" w:type="dxa"/>
        <w:tblLayout w:type="fixed"/>
        <w:tblCellMar>
          <w:left w:w="70" w:type="dxa"/>
          <w:right w:w="70" w:type="dxa"/>
        </w:tblCellMar>
        <w:tblLook w:val="0000" w:firstRow="0" w:lastRow="0" w:firstColumn="0" w:lastColumn="0" w:noHBand="0" w:noVBand="0"/>
      </w:tblPr>
      <w:tblGrid>
        <w:gridCol w:w="5096"/>
        <w:gridCol w:w="4401"/>
      </w:tblGrid>
      <w:tr w:rsidR="005E706D" w:rsidRPr="005E706D" w:rsidTr="008E36D3">
        <w:tc>
          <w:tcPr>
            <w:tcW w:w="5096" w:type="dxa"/>
            <w:tcBorders>
              <w:top w:val="double" w:sz="6" w:space="0" w:color="auto"/>
              <w:left w:val="double" w:sz="6" w:space="0" w:color="auto"/>
              <w:right w:val="single" w:sz="4" w:space="0" w:color="auto"/>
            </w:tcBorders>
          </w:tcPr>
          <w:p w:rsidR="005E706D" w:rsidRPr="005E706D" w:rsidRDefault="005E706D" w:rsidP="005E706D">
            <w:pPr>
              <w:tabs>
                <w:tab w:val="center" w:pos="2236"/>
              </w:tabs>
              <w:spacing w:before="90" w:after="0" w:line="240" w:lineRule="auto"/>
              <w:ind w:left="284"/>
              <w:jc w:val="center"/>
              <w:rPr>
                <w:rFonts w:ascii="Arial" w:eastAsia="Times New Roman" w:hAnsi="Arial" w:cs="Times New Roman"/>
                <w:spacing w:val="-3"/>
                <w:sz w:val="20"/>
                <w:szCs w:val="20"/>
                <w:lang w:eastAsia="es-ES"/>
              </w:rPr>
            </w:pPr>
            <w:r w:rsidRPr="005E706D">
              <w:rPr>
                <w:rFonts w:ascii="Arial" w:eastAsia="Times New Roman" w:hAnsi="Arial" w:cs="Times New Roman"/>
                <w:noProof/>
                <w:spacing w:val="-3"/>
                <w:sz w:val="20"/>
                <w:szCs w:val="20"/>
                <w:lang w:val="en-US"/>
              </w:rPr>
              <w:drawing>
                <wp:inline distT="0" distB="0" distL="0" distR="0">
                  <wp:extent cx="1975485" cy="1000760"/>
                  <wp:effectExtent l="0" t="0" r="5715" b="8890"/>
                  <wp:docPr id="1" name="Imagen 1" descr="unc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unc1_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1000760"/>
                          </a:xfrm>
                          <a:prstGeom prst="rect">
                            <a:avLst/>
                          </a:prstGeom>
                          <a:noFill/>
                          <a:ln>
                            <a:noFill/>
                          </a:ln>
                        </pic:spPr>
                      </pic:pic>
                    </a:graphicData>
                  </a:graphic>
                </wp:inline>
              </w:drawing>
            </w:r>
          </w:p>
          <w:p w:rsidR="005E706D" w:rsidRPr="005E706D" w:rsidRDefault="005E706D" w:rsidP="005E706D">
            <w:pPr>
              <w:tabs>
                <w:tab w:val="center" w:pos="2236"/>
              </w:tabs>
              <w:suppressAutoHyphens/>
              <w:spacing w:after="54" w:line="240" w:lineRule="auto"/>
              <w:jc w:val="center"/>
              <w:rPr>
                <w:rFonts w:ascii="Arial" w:eastAsia="Times New Roman" w:hAnsi="Arial" w:cs="Times New Roman"/>
                <w:b/>
                <w:spacing w:val="-2"/>
                <w:sz w:val="16"/>
                <w:szCs w:val="20"/>
                <w:lang w:eastAsia="es-ES"/>
              </w:rPr>
            </w:pPr>
            <w:r w:rsidRPr="005E706D">
              <w:rPr>
                <w:rFonts w:ascii="Arial" w:eastAsia="Times New Roman" w:hAnsi="Arial" w:cs="Times New Roman"/>
                <w:b/>
                <w:spacing w:val="-2"/>
                <w:sz w:val="16"/>
                <w:szCs w:val="20"/>
                <w:lang w:eastAsia="es-ES"/>
              </w:rPr>
              <w:t>FACULTAD DE CIENCIAS EXACTAS, FÍSICAS Y NATURALES UNIVERSIDAD NACIONAL DE CORDOBA</w:t>
            </w:r>
          </w:p>
          <w:p w:rsidR="005E706D" w:rsidRPr="005E706D" w:rsidRDefault="005E706D" w:rsidP="005E706D">
            <w:pPr>
              <w:tabs>
                <w:tab w:val="center" w:pos="2236"/>
              </w:tabs>
              <w:suppressAutoHyphens/>
              <w:spacing w:after="54" w:line="240" w:lineRule="auto"/>
              <w:ind w:left="284"/>
              <w:rPr>
                <w:rFonts w:ascii="Arial" w:eastAsia="Times New Roman" w:hAnsi="Arial" w:cs="Times New Roman"/>
                <w:spacing w:val="-2"/>
                <w:sz w:val="16"/>
                <w:szCs w:val="20"/>
                <w:lang w:eastAsia="es-ES"/>
              </w:rPr>
            </w:pPr>
            <w:r w:rsidRPr="005E706D">
              <w:rPr>
                <w:rFonts w:ascii="Arial" w:eastAsia="Times New Roman" w:hAnsi="Arial" w:cs="Times New Roman"/>
                <w:b/>
                <w:spacing w:val="-2"/>
                <w:sz w:val="16"/>
                <w:szCs w:val="20"/>
                <w:lang w:eastAsia="es-ES"/>
              </w:rPr>
              <w:t xml:space="preserve">              </w:t>
            </w:r>
            <w:r w:rsidRPr="005E706D">
              <w:rPr>
                <w:rFonts w:ascii="Arial" w:eastAsia="Times New Roman" w:hAnsi="Arial" w:cs="Times New Roman"/>
                <w:b/>
                <w:spacing w:val="-2"/>
                <w:sz w:val="16"/>
                <w:szCs w:val="20"/>
                <w:lang w:eastAsia="es-ES"/>
              </w:rPr>
              <w:tab/>
              <w:t>REPUBLICA ARGENTINA</w:t>
            </w:r>
          </w:p>
        </w:tc>
        <w:tc>
          <w:tcPr>
            <w:tcW w:w="4401" w:type="dxa"/>
            <w:tcBorders>
              <w:top w:val="double" w:sz="6" w:space="0" w:color="auto"/>
              <w:left w:val="single" w:sz="4" w:space="0" w:color="auto"/>
              <w:right w:val="double" w:sz="6" w:space="0" w:color="auto"/>
            </w:tcBorders>
          </w:tcPr>
          <w:p w:rsidR="005E706D" w:rsidRPr="005E706D" w:rsidRDefault="005E706D" w:rsidP="005E706D">
            <w:pPr>
              <w:tabs>
                <w:tab w:val="left" w:pos="-720"/>
              </w:tabs>
              <w:suppressAutoHyphens/>
              <w:spacing w:before="120" w:after="0" w:line="240" w:lineRule="auto"/>
              <w:jc w:val="right"/>
              <w:rPr>
                <w:rFonts w:ascii="Arial" w:eastAsia="Times New Roman" w:hAnsi="Arial" w:cs="Times New Roman"/>
                <w:spacing w:val="-3"/>
                <w:sz w:val="20"/>
                <w:szCs w:val="20"/>
                <w:lang w:eastAsia="es-ES"/>
              </w:rPr>
            </w:pPr>
            <w:r w:rsidRPr="005E706D">
              <w:rPr>
                <w:rFonts w:ascii="Arial" w:eastAsia="Times New Roman" w:hAnsi="Arial" w:cs="Times New Roman"/>
                <w:spacing w:val="-3"/>
                <w:sz w:val="20"/>
                <w:szCs w:val="20"/>
                <w:lang w:eastAsia="es-ES"/>
              </w:rPr>
              <w:t xml:space="preserve">                      </w:t>
            </w:r>
          </w:p>
          <w:p w:rsidR="005E706D" w:rsidRPr="005E706D" w:rsidRDefault="005E706D" w:rsidP="005E706D">
            <w:pPr>
              <w:tabs>
                <w:tab w:val="left" w:pos="-720"/>
              </w:tabs>
              <w:suppressAutoHyphens/>
              <w:spacing w:before="120" w:after="0" w:line="240" w:lineRule="auto"/>
              <w:rPr>
                <w:rFonts w:ascii="Arial" w:eastAsia="Times New Roman" w:hAnsi="Arial" w:cs="Times New Roman"/>
                <w:spacing w:val="-3"/>
                <w:sz w:val="20"/>
                <w:szCs w:val="20"/>
                <w:lang w:eastAsia="es-ES"/>
              </w:rPr>
            </w:pPr>
            <w:r w:rsidRPr="005E706D">
              <w:rPr>
                <w:rFonts w:ascii="Arial" w:eastAsia="Times New Roman" w:hAnsi="Arial" w:cs="Times New Roman"/>
                <w:spacing w:val="-3"/>
                <w:sz w:val="20"/>
                <w:szCs w:val="20"/>
                <w:lang w:eastAsia="es-ES"/>
              </w:rPr>
              <w:t>Programa de:</w:t>
            </w:r>
          </w:p>
          <w:p w:rsidR="005E706D" w:rsidRPr="005E706D" w:rsidRDefault="005E706D" w:rsidP="005E706D">
            <w:pPr>
              <w:tabs>
                <w:tab w:val="left" w:pos="-720"/>
              </w:tabs>
              <w:suppressAutoHyphens/>
              <w:spacing w:before="120" w:after="0" w:line="240" w:lineRule="auto"/>
              <w:rPr>
                <w:rFonts w:ascii="Arial" w:eastAsia="Times New Roman" w:hAnsi="Arial" w:cs="Times New Roman"/>
                <w:spacing w:val="-3"/>
                <w:sz w:val="20"/>
                <w:szCs w:val="20"/>
                <w:lang w:eastAsia="es-ES"/>
              </w:rPr>
            </w:pPr>
          </w:p>
          <w:p w:rsidR="005E706D" w:rsidRPr="005E706D" w:rsidRDefault="005E706D" w:rsidP="005E706D">
            <w:pPr>
              <w:tabs>
                <w:tab w:val="left" w:pos="-720"/>
              </w:tabs>
              <w:suppressAutoHyphens/>
              <w:spacing w:before="120" w:after="0" w:line="240" w:lineRule="auto"/>
              <w:rPr>
                <w:rFonts w:ascii="Arial" w:eastAsia="Times New Roman" w:hAnsi="Arial" w:cs="Times New Roman"/>
                <w:spacing w:val="-3"/>
                <w:sz w:val="20"/>
                <w:szCs w:val="20"/>
                <w:lang w:eastAsia="es-ES"/>
              </w:rPr>
            </w:pPr>
            <w:r w:rsidRPr="005E706D">
              <w:rPr>
                <w:rFonts w:ascii="Arial" w:eastAsia="Times New Roman" w:hAnsi="Arial" w:cs="Times New Roman"/>
                <w:b/>
                <w:sz w:val="20"/>
                <w:szCs w:val="20"/>
                <w:lang w:eastAsia="es-ES"/>
              </w:rPr>
              <w:t>CENTRALES Y MAQUINAS HIDR</w:t>
            </w:r>
            <w:r w:rsidRPr="005E706D">
              <w:rPr>
                <w:rFonts w:ascii="Arial" w:eastAsia="Times New Roman" w:hAnsi="Arial" w:cs="Arial"/>
                <w:b/>
                <w:sz w:val="20"/>
                <w:szCs w:val="20"/>
                <w:lang w:eastAsia="es-ES"/>
              </w:rPr>
              <w:t>Á</w:t>
            </w:r>
            <w:r w:rsidRPr="005E706D">
              <w:rPr>
                <w:rFonts w:ascii="Arial" w:eastAsia="Times New Roman" w:hAnsi="Arial" w:cs="Times New Roman"/>
                <w:b/>
                <w:sz w:val="20"/>
                <w:szCs w:val="20"/>
                <w:lang w:eastAsia="es-ES"/>
              </w:rPr>
              <w:t>ULICAS</w:t>
            </w:r>
          </w:p>
          <w:p w:rsidR="005E706D" w:rsidRPr="005E706D" w:rsidRDefault="005E706D" w:rsidP="005E706D">
            <w:pPr>
              <w:widowControl w:val="0"/>
              <w:tabs>
                <w:tab w:val="left" w:pos="-720"/>
              </w:tabs>
              <w:suppressAutoHyphens/>
              <w:spacing w:before="120" w:after="54" w:line="240" w:lineRule="auto"/>
              <w:rPr>
                <w:rFonts w:ascii="Arial" w:eastAsia="Times New Roman" w:hAnsi="Arial" w:cs="Times New Roman"/>
                <w:spacing w:val="-3"/>
                <w:sz w:val="20"/>
                <w:szCs w:val="20"/>
                <w:lang w:val="es-ES_tradnl" w:eastAsia="es-ES"/>
              </w:rPr>
            </w:pPr>
            <w:r w:rsidRPr="005E706D">
              <w:rPr>
                <w:rFonts w:ascii="Arial" w:eastAsia="Times New Roman" w:hAnsi="Arial" w:cs="Times New Roman"/>
                <w:spacing w:val="-3"/>
                <w:sz w:val="20"/>
                <w:szCs w:val="20"/>
                <w:lang w:val="es-ES_tradnl" w:eastAsia="es-ES"/>
              </w:rPr>
              <w:t>Código: MR 11</w:t>
            </w:r>
          </w:p>
        </w:tc>
      </w:tr>
      <w:tr w:rsidR="005E706D" w:rsidRPr="005E706D" w:rsidTr="008E36D3">
        <w:tc>
          <w:tcPr>
            <w:tcW w:w="5096" w:type="dxa"/>
            <w:tcBorders>
              <w:top w:val="double" w:sz="6" w:space="0" w:color="auto"/>
              <w:left w:val="double" w:sz="6" w:space="0" w:color="auto"/>
              <w:bottom w:val="single" w:sz="6" w:space="0" w:color="auto"/>
              <w:right w:val="single" w:sz="4" w:space="0" w:color="auto"/>
            </w:tcBorders>
          </w:tcPr>
          <w:p w:rsidR="005E706D" w:rsidRPr="005E706D" w:rsidRDefault="005E706D" w:rsidP="005E706D">
            <w:pPr>
              <w:tabs>
                <w:tab w:val="left" w:pos="-720"/>
              </w:tabs>
              <w:suppressAutoHyphens/>
              <w:spacing w:before="120" w:after="0" w:line="240" w:lineRule="auto"/>
              <w:rPr>
                <w:rFonts w:ascii="Arial" w:eastAsia="Times New Roman" w:hAnsi="Arial" w:cs="Times New Roman"/>
                <w:spacing w:val="-3"/>
                <w:sz w:val="20"/>
                <w:szCs w:val="20"/>
                <w:lang w:eastAsia="es-ES"/>
              </w:rPr>
            </w:pPr>
            <w:r w:rsidRPr="005E706D">
              <w:rPr>
                <w:rFonts w:ascii="Arial" w:eastAsia="Times New Roman" w:hAnsi="Arial" w:cs="Times New Roman"/>
                <w:b/>
                <w:spacing w:val="-3"/>
                <w:sz w:val="20"/>
                <w:szCs w:val="20"/>
                <w:lang w:eastAsia="es-ES"/>
              </w:rPr>
              <w:t>Carrera</w:t>
            </w:r>
            <w:r w:rsidRPr="005E706D">
              <w:rPr>
                <w:rFonts w:ascii="Arial" w:eastAsia="Times New Roman" w:hAnsi="Arial" w:cs="Times New Roman"/>
                <w:spacing w:val="-3"/>
                <w:sz w:val="20"/>
                <w:szCs w:val="20"/>
                <w:lang w:eastAsia="es-ES"/>
              </w:rPr>
              <w:t>: Maestría en Generación de Energías Renovables</w:t>
            </w:r>
          </w:p>
          <w:p w:rsidR="005E706D" w:rsidRPr="005E706D" w:rsidRDefault="005E706D" w:rsidP="005E706D">
            <w:pPr>
              <w:tabs>
                <w:tab w:val="left" w:pos="-720"/>
              </w:tabs>
              <w:suppressAutoHyphens/>
              <w:spacing w:after="0" w:line="240" w:lineRule="auto"/>
              <w:rPr>
                <w:rFonts w:ascii="Arial" w:eastAsia="Times New Roman" w:hAnsi="Arial" w:cs="Times New Roman"/>
                <w:spacing w:val="-3"/>
                <w:sz w:val="20"/>
                <w:szCs w:val="20"/>
                <w:lang w:eastAsia="es-ES"/>
              </w:rPr>
            </w:pPr>
          </w:p>
        </w:tc>
        <w:tc>
          <w:tcPr>
            <w:tcW w:w="4401" w:type="dxa"/>
            <w:tcBorders>
              <w:top w:val="double" w:sz="6" w:space="0" w:color="auto"/>
              <w:left w:val="single" w:sz="4" w:space="0" w:color="auto"/>
              <w:bottom w:val="single" w:sz="6" w:space="0" w:color="auto"/>
              <w:right w:val="double" w:sz="6" w:space="0" w:color="auto"/>
            </w:tcBorders>
          </w:tcPr>
          <w:p w:rsidR="005E706D" w:rsidRPr="005E706D" w:rsidRDefault="005E706D" w:rsidP="005E706D">
            <w:pPr>
              <w:tabs>
                <w:tab w:val="left" w:pos="-720"/>
              </w:tabs>
              <w:suppressAutoHyphens/>
              <w:spacing w:before="120" w:after="0" w:line="240" w:lineRule="auto"/>
              <w:rPr>
                <w:rFonts w:ascii="Arial" w:eastAsia="Times New Roman" w:hAnsi="Arial" w:cs="Times New Roman"/>
                <w:spacing w:val="-3"/>
                <w:sz w:val="20"/>
                <w:szCs w:val="20"/>
                <w:lang w:eastAsia="es-ES"/>
              </w:rPr>
            </w:pPr>
            <w:r w:rsidRPr="005E706D">
              <w:rPr>
                <w:rFonts w:ascii="Arial" w:eastAsia="Times New Roman" w:hAnsi="Arial" w:cs="Times New Roman"/>
                <w:b/>
                <w:spacing w:val="-3"/>
                <w:sz w:val="20"/>
                <w:szCs w:val="20"/>
                <w:lang w:eastAsia="es-ES"/>
              </w:rPr>
              <w:t xml:space="preserve">Créditos: </w:t>
            </w:r>
            <w:r w:rsidRPr="005E706D">
              <w:rPr>
                <w:rFonts w:ascii="Arial" w:eastAsia="Times New Roman" w:hAnsi="Arial" w:cs="Times New Roman"/>
                <w:spacing w:val="-3"/>
                <w:sz w:val="20"/>
                <w:szCs w:val="20"/>
                <w:lang w:eastAsia="es-ES"/>
              </w:rPr>
              <w:t>3</w:t>
            </w:r>
          </w:p>
          <w:p w:rsidR="005E706D" w:rsidRPr="005E706D" w:rsidRDefault="005E706D" w:rsidP="005E706D">
            <w:pPr>
              <w:tabs>
                <w:tab w:val="left" w:pos="-720"/>
              </w:tabs>
              <w:suppressAutoHyphens/>
              <w:spacing w:before="120" w:after="0" w:line="240" w:lineRule="auto"/>
              <w:rPr>
                <w:rFonts w:ascii="Arial" w:eastAsia="Times New Roman" w:hAnsi="Arial" w:cs="Times New Roman"/>
                <w:spacing w:val="-3"/>
                <w:sz w:val="20"/>
                <w:szCs w:val="20"/>
                <w:lang w:eastAsia="es-ES"/>
              </w:rPr>
            </w:pPr>
            <w:r w:rsidRPr="005E706D">
              <w:rPr>
                <w:rFonts w:ascii="Arial" w:eastAsia="Times New Roman" w:hAnsi="Arial" w:cs="Times New Roman"/>
                <w:b/>
                <w:spacing w:val="-3"/>
                <w:sz w:val="20"/>
                <w:szCs w:val="20"/>
                <w:lang w:eastAsia="es-ES"/>
              </w:rPr>
              <w:t xml:space="preserve">Carga horaria: </w:t>
            </w:r>
            <w:r w:rsidRPr="005E706D">
              <w:rPr>
                <w:rFonts w:ascii="Arial" w:eastAsia="Times New Roman" w:hAnsi="Arial" w:cs="Times New Roman"/>
                <w:spacing w:val="-3"/>
                <w:sz w:val="20"/>
                <w:szCs w:val="20"/>
                <w:lang w:eastAsia="es-ES"/>
              </w:rPr>
              <w:t xml:space="preserve">60 horas   </w:t>
            </w:r>
          </w:p>
          <w:p w:rsidR="005E706D" w:rsidRPr="005E706D" w:rsidRDefault="005E706D" w:rsidP="005E706D">
            <w:pPr>
              <w:tabs>
                <w:tab w:val="left" w:pos="-720"/>
              </w:tabs>
              <w:suppressAutoHyphens/>
              <w:spacing w:before="120" w:after="0" w:line="240" w:lineRule="auto"/>
              <w:rPr>
                <w:rFonts w:ascii="Arial" w:eastAsia="Times New Roman" w:hAnsi="Arial" w:cs="Times New Roman"/>
                <w:spacing w:val="-3"/>
                <w:sz w:val="20"/>
                <w:szCs w:val="20"/>
                <w:lang w:eastAsia="es-ES"/>
              </w:rPr>
            </w:pPr>
            <w:r w:rsidRPr="005E706D">
              <w:rPr>
                <w:rFonts w:ascii="Arial" w:eastAsia="Times New Roman" w:hAnsi="Arial" w:cs="Times New Roman"/>
                <w:b/>
                <w:spacing w:val="-3"/>
                <w:sz w:val="20"/>
                <w:szCs w:val="20"/>
                <w:lang w:eastAsia="es-ES"/>
              </w:rPr>
              <w:t>Horas Semanales:</w:t>
            </w:r>
            <w:r w:rsidRPr="005E706D">
              <w:rPr>
                <w:rFonts w:ascii="Arial" w:eastAsia="Times New Roman" w:hAnsi="Arial" w:cs="Times New Roman"/>
                <w:spacing w:val="-3"/>
                <w:sz w:val="20"/>
                <w:szCs w:val="20"/>
                <w:lang w:eastAsia="es-ES"/>
              </w:rPr>
              <w:t xml:space="preserve"> 4 horas</w:t>
            </w:r>
          </w:p>
        </w:tc>
      </w:tr>
      <w:tr w:rsidR="005E706D" w:rsidRPr="005E706D" w:rsidTr="008E36D3">
        <w:tc>
          <w:tcPr>
            <w:tcW w:w="9497" w:type="dxa"/>
            <w:gridSpan w:val="2"/>
            <w:tcBorders>
              <w:left w:val="double" w:sz="6" w:space="0" w:color="auto"/>
              <w:right w:val="double" w:sz="6" w:space="0" w:color="auto"/>
            </w:tcBorders>
          </w:tcPr>
          <w:p w:rsidR="005E706D" w:rsidRPr="005E706D" w:rsidRDefault="005E706D" w:rsidP="005E706D">
            <w:pPr>
              <w:spacing w:before="120" w:after="0" w:line="240" w:lineRule="exact"/>
              <w:rPr>
                <w:rFonts w:ascii="Arial" w:eastAsia="Times New Roman" w:hAnsi="Arial" w:cs="Times New Roman"/>
                <w:b/>
                <w:spacing w:val="-3"/>
                <w:sz w:val="20"/>
                <w:szCs w:val="20"/>
                <w:lang w:eastAsia="es-ES"/>
              </w:rPr>
            </w:pPr>
            <w:r w:rsidRPr="005E706D">
              <w:rPr>
                <w:rFonts w:ascii="Arial" w:eastAsia="Times New Roman" w:hAnsi="Arial" w:cs="Times New Roman"/>
                <w:b/>
                <w:spacing w:val="-3"/>
                <w:sz w:val="20"/>
                <w:szCs w:val="20"/>
                <w:lang w:eastAsia="es-ES"/>
              </w:rPr>
              <w:t xml:space="preserve">Objetivos </w:t>
            </w:r>
          </w:p>
          <w:p w:rsidR="005E706D" w:rsidRPr="005E706D" w:rsidRDefault="005E706D" w:rsidP="005E706D">
            <w:pPr>
              <w:numPr>
                <w:ilvl w:val="0"/>
                <w:numId w:val="2"/>
              </w:numPr>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Generar conocimientos avanzados en la problemática del proyecto y la construcción de las obras hidráulicas. </w:t>
            </w:r>
          </w:p>
          <w:p w:rsidR="005E706D" w:rsidRPr="005E706D" w:rsidRDefault="005E706D" w:rsidP="005E706D">
            <w:pPr>
              <w:numPr>
                <w:ilvl w:val="0"/>
                <w:numId w:val="2"/>
              </w:numPr>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Completar los conocimientos del estudiante relacionados a las centrales hidráulicas adquiridos en la materia Obras Hidráulicas.</w:t>
            </w:r>
          </w:p>
          <w:p w:rsidR="005E706D" w:rsidRPr="005E706D" w:rsidRDefault="005E706D" w:rsidP="005E706D">
            <w:pPr>
              <w:numPr>
                <w:ilvl w:val="0"/>
                <w:numId w:val="2"/>
              </w:numPr>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Comprender los problemas de dimensionamiento energético.</w:t>
            </w:r>
          </w:p>
          <w:p w:rsidR="005E706D" w:rsidRPr="005E706D" w:rsidRDefault="005E706D" w:rsidP="005E706D">
            <w:pPr>
              <w:numPr>
                <w:ilvl w:val="0"/>
                <w:numId w:val="2"/>
              </w:numPr>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Completar los conocimientos de los distintos tipos de turbinas</w:t>
            </w:r>
          </w:p>
          <w:p w:rsidR="005E706D" w:rsidRPr="005E706D" w:rsidRDefault="005E706D" w:rsidP="005E706D">
            <w:pPr>
              <w:numPr>
                <w:ilvl w:val="0"/>
                <w:numId w:val="2"/>
              </w:numPr>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Dar al alumno las herramientas para poder realizar el estudio, proyecto, dirección, construcción de: presas de embalse y centrales hidroeléctricas. </w:t>
            </w:r>
          </w:p>
          <w:p w:rsidR="005E706D" w:rsidRPr="005E706D" w:rsidRDefault="005E706D" w:rsidP="005E706D">
            <w:pPr>
              <w:numPr>
                <w:ilvl w:val="0"/>
                <w:numId w:val="2"/>
              </w:numPr>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Permitirle un manejo a nivel operacional de las herramientas del área.</w:t>
            </w:r>
            <w:r w:rsidRPr="005E706D">
              <w:rPr>
                <w:rFonts w:ascii="Arial" w:eastAsia="Times New Roman" w:hAnsi="Arial" w:cs="Arial"/>
                <w:iCs/>
                <w:sz w:val="20"/>
                <w:szCs w:val="20"/>
                <w:lang w:eastAsia="es-ES"/>
              </w:rPr>
              <w:t xml:space="preserve"> </w:t>
            </w:r>
            <w:r w:rsidRPr="005E706D">
              <w:rPr>
                <w:rFonts w:ascii="Arial" w:eastAsia="Times New Roman" w:hAnsi="Arial" w:cs="Arial"/>
                <w:spacing w:val="-3"/>
                <w:sz w:val="20"/>
                <w:szCs w:val="20"/>
                <w:lang w:eastAsia="es-ES"/>
              </w:rPr>
              <w:t xml:space="preserve"> </w:t>
            </w:r>
          </w:p>
        </w:tc>
      </w:tr>
      <w:tr w:rsidR="005E706D" w:rsidRPr="005E706D" w:rsidTr="008E36D3">
        <w:trPr>
          <w:trHeight w:val="1871"/>
        </w:trPr>
        <w:tc>
          <w:tcPr>
            <w:tcW w:w="9497" w:type="dxa"/>
            <w:gridSpan w:val="2"/>
            <w:tcBorders>
              <w:top w:val="single" w:sz="6" w:space="0" w:color="auto"/>
              <w:left w:val="double" w:sz="6" w:space="0" w:color="auto"/>
              <w:bottom w:val="single" w:sz="6" w:space="0" w:color="auto"/>
              <w:right w:val="double" w:sz="6" w:space="0" w:color="auto"/>
            </w:tcBorders>
          </w:tcPr>
          <w:p w:rsidR="005E706D" w:rsidRPr="005E706D" w:rsidRDefault="005E706D" w:rsidP="005E706D">
            <w:pPr>
              <w:spacing w:before="120" w:after="0" w:line="240" w:lineRule="exact"/>
              <w:rPr>
                <w:rFonts w:ascii="Arial" w:eastAsia="Times New Roman" w:hAnsi="Arial" w:cs="Times New Roman"/>
                <w:b/>
                <w:spacing w:val="-3"/>
                <w:sz w:val="20"/>
                <w:szCs w:val="20"/>
                <w:lang w:eastAsia="es-ES"/>
              </w:rPr>
            </w:pPr>
            <w:r w:rsidRPr="005E706D">
              <w:rPr>
                <w:rFonts w:ascii="Arial" w:eastAsia="Times New Roman" w:hAnsi="Arial" w:cs="Times New Roman"/>
                <w:b/>
                <w:spacing w:val="-3"/>
                <w:sz w:val="20"/>
                <w:szCs w:val="20"/>
                <w:lang w:eastAsia="es-ES"/>
              </w:rPr>
              <w:t>Programa Sintético:</w:t>
            </w:r>
          </w:p>
          <w:p w:rsidR="005E706D" w:rsidRPr="005E706D" w:rsidRDefault="005E706D" w:rsidP="005E706D">
            <w:pPr>
              <w:widowControl w:val="0"/>
              <w:autoSpaceDE w:val="0"/>
              <w:autoSpaceDN w:val="0"/>
              <w:adjustRightInd w:val="0"/>
              <w:spacing w:after="0" w:line="240" w:lineRule="auto"/>
              <w:rPr>
                <w:rFonts w:ascii="Arial" w:eastAsia="Times New Roman" w:hAnsi="Arial" w:cs="Arial"/>
                <w:iCs/>
                <w:color w:val="000000"/>
                <w:sz w:val="20"/>
                <w:szCs w:val="20"/>
                <w:lang w:eastAsia="es-ES"/>
              </w:rPr>
            </w:pPr>
            <w:r w:rsidRPr="005E706D">
              <w:rPr>
                <w:rFonts w:ascii="Arial" w:eastAsia="Times New Roman" w:hAnsi="Arial" w:cs="Arial"/>
                <w:iCs/>
                <w:color w:val="000000"/>
                <w:sz w:val="20"/>
                <w:szCs w:val="20"/>
                <w:lang w:eastAsia="es-ES"/>
              </w:rPr>
              <w:t xml:space="preserve">1. Presas de Materiales Sueltos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2. Fundación de presas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3. Presas de Gravedad y Arco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4. Vertederos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5. Obras de toma y conducción.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6. Túneles en presión.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7. Operación y mantenimiento.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8. Centrales y Máquinas Hidráulicas. Conceptos básicos.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9. Energía disponible en mares y océanos.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10. Mercado eléctrico.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11. Aprovechamiento integral de una cuenca.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12. Chimeneas de equilibrio.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13. Tuberías forzadas y Pozos a presión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iCs/>
                <w:color w:val="000000"/>
                <w:sz w:val="20"/>
                <w:szCs w:val="20"/>
                <w:lang w:eastAsia="es-ES"/>
              </w:rPr>
              <w:t xml:space="preserve">14. Dimensionamiento de los aprovechamientos hidroeléctricos. </w:t>
            </w:r>
          </w:p>
          <w:p w:rsidR="005E706D" w:rsidRPr="005E706D" w:rsidRDefault="005E706D" w:rsidP="005E706D">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es-ES"/>
              </w:rPr>
            </w:pPr>
            <w:r w:rsidRPr="005E706D">
              <w:rPr>
                <w:rFonts w:ascii="Arial" w:eastAsia="Times New Roman" w:hAnsi="Arial" w:cs="Arial"/>
                <w:iCs/>
                <w:color w:val="000000"/>
                <w:sz w:val="20"/>
                <w:szCs w:val="20"/>
                <w:lang w:eastAsia="es-ES"/>
              </w:rPr>
              <w:t>15. Máquinas Hidráulicas.</w:t>
            </w:r>
            <w:r w:rsidRPr="005E706D">
              <w:rPr>
                <w:rFonts w:ascii="Times New Roman" w:eastAsia="Times New Roman" w:hAnsi="Times New Roman" w:cs="Times New Roman"/>
                <w:i/>
                <w:iCs/>
                <w:color w:val="000000"/>
                <w:sz w:val="20"/>
                <w:szCs w:val="20"/>
                <w:lang w:eastAsia="es-ES"/>
              </w:rPr>
              <w:t xml:space="preserve"> </w:t>
            </w:r>
            <w:r w:rsidRPr="005E706D">
              <w:rPr>
                <w:rFonts w:ascii="Arial" w:eastAsia="Times New Roman" w:hAnsi="Arial" w:cs="Times New Roman"/>
                <w:color w:val="000000"/>
                <w:sz w:val="24"/>
                <w:szCs w:val="24"/>
                <w:lang w:val="es-AR" w:eastAsia="es-ES"/>
              </w:rPr>
              <w:t xml:space="preserve"> </w:t>
            </w:r>
          </w:p>
        </w:tc>
      </w:tr>
      <w:tr w:rsidR="005E706D" w:rsidRPr="005E706D" w:rsidTr="008E36D3">
        <w:tc>
          <w:tcPr>
            <w:tcW w:w="9497" w:type="dxa"/>
            <w:gridSpan w:val="2"/>
            <w:tcBorders>
              <w:top w:val="single" w:sz="6" w:space="0" w:color="auto"/>
              <w:left w:val="double" w:sz="6" w:space="0" w:color="auto"/>
              <w:bottom w:val="single" w:sz="4" w:space="0" w:color="auto"/>
              <w:right w:val="double" w:sz="6" w:space="0" w:color="auto"/>
            </w:tcBorders>
          </w:tcPr>
          <w:p w:rsidR="005E706D" w:rsidRPr="005E706D" w:rsidRDefault="005E706D" w:rsidP="005E706D">
            <w:pPr>
              <w:spacing w:before="120" w:after="0" w:line="360" w:lineRule="auto"/>
              <w:rPr>
                <w:rFonts w:ascii="Arial" w:eastAsia="Times New Roman" w:hAnsi="Arial" w:cs="Times New Roman"/>
                <w:b/>
                <w:spacing w:val="-3"/>
                <w:sz w:val="20"/>
                <w:szCs w:val="20"/>
                <w:lang w:eastAsia="es-ES"/>
              </w:rPr>
            </w:pPr>
            <w:r w:rsidRPr="005E706D">
              <w:rPr>
                <w:rFonts w:ascii="Arial" w:eastAsia="Times New Roman" w:hAnsi="Arial" w:cs="Times New Roman"/>
                <w:b/>
                <w:spacing w:val="-3"/>
                <w:sz w:val="20"/>
                <w:szCs w:val="20"/>
                <w:lang w:eastAsia="es-ES"/>
              </w:rPr>
              <w:t xml:space="preserve">Modalidad: </w:t>
            </w:r>
            <w:r w:rsidRPr="005E706D">
              <w:rPr>
                <w:rFonts w:ascii="Arial" w:eastAsia="Times New Roman" w:hAnsi="Arial" w:cs="Times New Roman"/>
                <w:spacing w:val="-3"/>
                <w:sz w:val="20"/>
                <w:szCs w:val="20"/>
                <w:lang w:eastAsia="es-ES"/>
              </w:rPr>
              <w:t>Presencial.</w:t>
            </w:r>
          </w:p>
        </w:tc>
      </w:tr>
      <w:tr w:rsidR="005E706D" w:rsidRPr="005E706D" w:rsidTr="008E36D3">
        <w:tc>
          <w:tcPr>
            <w:tcW w:w="9497" w:type="dxa"/>
            <w:gridSpan w:val="2"/>
            <w:tcBorders>
              <w:top w:val="single" w:sz="4" w:space="0" w:color="auto"/>
              <w:left w:val="double" w:sz="6" w:space="0" w:color="auto"/>
              <w:bottom w:val="single" w:sz="6" w:space="0" w:color="auto"/>
              <w:right w:val="double" w:sz="6" w:space="0" w:color="auto"/>
            </w:tcBorders>
          </w:tcPr>
          <w:p w:rsidR="005E706D" w:rsidRPr="005E706D" w:rsidRDefault="005E706D" w:rsidP="005E706D">
            <w:pPr>
              <w:spacing w:before="120" w:after="0" w:line="360" w:lineRule="auto"/>
              <w:rPr>
                <w:rFonts w:ascii="Arial" w:eastAsia="Times New Roman" w:hAnsi="Arial" w:cs="Times New Roman"/>
                <w:sz w:val="20"/>
                <w:szCs w:val="20"/>
                <w:lang w:eastAsia="es-ES"/>
              </w:rPr>
            </w:pPr>
            <w:r w:rsidRPr="005E706D">
              <w:rPr>
                <w:rFonts w:ascii="Arial" w:eastAsia="Times New Roman" w:hAnsi="Arial" w:cs="Times New Roman"/>
                <w:b/>
                <w:spacing w:val="-3"/>
                <w:sz w:val="20"/>
                <w:szCs w:val="20"/>
                <w:lang w:eastAsia="es-ES"/>
              </w:rPr>
              <w:t xml:space="preserve">     Programa analítico</w:t>
            </w:r>
            <w:r w:rsidRPr="005E706D">
              <w:rPr>
                <w:rFonts w:ascii="Arial" w:eastAsia="Times New Roman" w:hAnsi="Arial" w:cs="Times New Roman"/>
                <w:spacing w:val="-3"/>
                <w:sz w:val="20"/>
                <w:szCs w:val="20"/>
                <w:lang w:eastAsia="es-ES"/>
              </w:rPr>
              <w:t>:  ver más adelante</w:t>
            </w:r>
          </w:p>
        </w:tc>
      </w:tr>
      <w:tr w:rsidR="005E706D" w:rsidRPr="005E706D" w:rsidTr="008E36D3">
        <w:tc>
          <w:tcPr>
            <w:tcW w:w="9497" w:type="dxa"/>
            <w:gridSpan w:val="2"/>
            <w:tcBorders>
              <w:top w:val="single" w:sz="6" w:space="0" w:color="auto"/>
              <w:left w:val="double" w:sz="6" w:space="0" w:color="auto"/>
              <w:right w:val="double" w:sz="6" w:space="0" w:color="auto"/>
            </w:tcBorders>
          </w:tcPr>
          <w:p w:rsidR="005E706D" w:rsidRPr="005E706D" w:rsidRDefault="005E706D" w:rsidP="005E706D">
            <w:pPr>
              <w:tabs>
                <w:tab w:val="left" w:pos="-720"/>
              </w:tabs>
              <w:suppressAutoHyphens/>
              <w:spacing w:before="120" w:after="0" w:line="360" w:lineRule="auto"/>
              <w:rPr>
                <w:rFonts w:ascii="Arial" w:eastAsia="Times New Roman" w:hAnsi="Arial" w:cs="Times New Roman"/>
                <w:spacing w:val="-3"/>
                <w:sz w:val="20"/>
                <w:szCs w:val="20"/>
                <w:lang w:eastAsia="es-ES"/>
              </w:rPr>
            </w:pPr>
            <w:r w:rsidRPr="005E706D">
              <w:rPr>
                <w:rFonts w:ascii="Arial" w:eastAsia="Times New Roman" w:hAnsi="Arial" w:cs="Times New Roman"/>
                <w:b/>
                <w:spacing w:val="-3"/>
                <w:sz w:val="20"/>
                <w:szCs w:val="20"/>
                <w:lang w:eastAsia="es-ES"/>
              </w:rPr>
              <w:t xml:space="preserve">     Bibliografía</w:t>
            </w:r>
            <w:r w:rsidRPr="005E706D">
              <w:rPr>
                <w:rFonts w:ascii="Arial" w:eastAsia="Times New Roman" w:hAnsi="Arial" w:cs="Times New Roman"/>
                <w:spacing w:val="-3"/>
                <w:sz w:val="20"/>
                <w:szCs w:val="20"/>
                <w:lang w:eastAsia="es-ES"/>
              </w:rPr>
              <w:t>: ver más adelante</w:t>
            </w:r>
          </w:p>
        </w:tc>
      </w:tr>
      <w:tr w:rsidR="005E706D" w:rsidRPr="005E706D" w:rsidTr="008E36D3">
        <w:tc>
          <w:tcPr>
            <w:tcW w:w="5096" w:type="dxa"/>
            <w:tcBorders>
              <w:top w:val="single" w:sz="4" w:space="0" w:color="auto"/>
              <w:left w:val="double" w:sz="6" w:space="0" w:color="auto"/>
              <w:bottom w:val="single" w:sz="6" w:space="0" w:color="auto"/>
              <w:right w:val="single" w:sz="4" w:space="0" w:color="auto"/>
            </w:tcBorders>
          </w:tcPr>
          <w:p w:rsidR="005E706D" w:rsidRPr="005E706D" w:rsidRDefault="005E706D" w:rsidP="005E706D">
            <w:pPr>
              <w:tabs>
                <w:tab w:val="left" w:pos="-720"/>
              </w:tabs>
              <w:suppressAutoHyphens/>
              <w:spacing w:before="120" w:after="0" w:line="240" w:lineRule="exact"/>
              <w:rPr>
                <w:rFonts w:ascii="Arial" w:eastAsia="Times New Roman" w:hAnsi="Arial" w:cs="Times New Roman"/>
                <w:spacing w:val="-3"/>
                <w:sz w:val="20"/>
                <w:szCs w:val="20"/>
                <w:lang w:eastAsia="es-ES"/>
              </w:rPr>
            </w:pPr>
            <w:r w:rsidRPr="005E706D">
              <w:rPr>
                <w:rFonts w:ascii="Arial" w:eastAsia="Times New Roman" w:hAnsi="Arial" w:cs="Times New Roman"/>
                <w:spacing w:val="-3"/>
                <w:sz w:val="20"/>
                <w:szCs w:val="20"/>
                <w:lang w:eastAsia="es-ES"/>
              </w:rPr>
              <w:t xml:space="preserve">Aprobado por </w:t>
            </w:r>
            <w:proofErr w:type="spellStart"/>
            <w:r w:rsidRPr="005E706D">
              <w:rPr>
                <w:rFonts w:ascii="Arial" w:eastAsia="Times New Roman" w:hAnsi="Arial" w:cs="Times New Roman"/>
                <w:spacing w:val="-3"/>
                <w:sz w:val="20"/>
                <w:szCs w:val="20"/>
                <w:lang w:eastAsia="es-ES"/>
              </w:rPr>
              <w:t>Res.HCD</w:t>
            </w:r>
            <w:proofErr w:type="spellEnd"/>
          </w:p>
          <w:p w:rsidR="005E706D" w:rsidRPr="005E706D" w:rsidRDefault="005E706D" w:rsidP="005E706D">
            <w:pPr>
              <w:tabs>
                <w:tab w:val="left" w:pos="-720"/>
              </w:tabs>
              <w:suppressAutoHyphens/>
              <w:spacing w:before="120" w:after="0" w:line="240" w:lineRule="exact"/>
              <w:ind w:left="284"/>
              <w:rPr>
                <w:rFonts w:ascii="Arial" w:eastAsia="Times New Roman" w:hAnsi="Arial" w:cs="Times New Roman"/>
                <w:spacing w:val="-3"/>
                <w:sz w:val="20"/>
                <w:szCs w:val="20"/>
                <w:lang w:eastAsia="es-ES"/>
              </w:rPr>
            </w:pPr>
            <w:r w:rsidRPr="005E706D">
              <w:rPr>
                <w:rFonts w:ascii="Arial" w:eastAsia="Times New Roman" w:hAnsi="Arial" w:cs="Times New Roman"/>
                <w:spacing w:val="-3"/>
                <w:sz w:val="20"/>
                <w:szCs w:val="20"/>
                <w:lang w:eastAsia="es-ES"/>
              </w:rPr>
              <w:t>Fecha:</w:t>
            </w:r>
          </w:p>
        </w:tc>
        <w:tc>
          <w:tcPr>
            <w:tcW w:w="4401" w:type="dxa"/>
            <w:tcBorders>
              <w:top w:val="single" w:sz="4" w:space="0" w:color="auto"/>
              <w:left w:val="single" w:sz="4" w:space="0" w:color="auto"/>
              <w:bottom w:val="single" w:sz="6" w:space="0" w:color="auto"/>
              <w:right w:val="double" w:sz="6" w:space="0" w:color="auto"/>
            </w:tcBorders>
          </w:tcPr>
          <w:p w:rsidR="005E706D" w:rsidRPr="005E706D" w:rsidRDefault="005E706D" w:rsidP="005E706D">
            <w:pPr>
              <w:tabs>
                <w:tab w:val="left" w:pos="-720"/>
              </w:tabs>
              <w:suppressAutoHyphens/>
              <w:spacing w:before="120" w:after="0" w:line="240" w:lineRule="exact"/>
              <w:rPr>
                <w:rFonts w:ascii="Arial" w:eastAsia="Times New Roman" w:hAnsi="Arial" w:cs="Times New Roman"/>
                <w:spacing w:val="-3"/>
                <w:sz w:val="20"/>
                <w:szCs w:val="20"/>
                <w:lang w:eastAsia="es-ES"/>
              </w:rPr>
            </w:pPr>
            <w:r w:rsidRPr="005E706D">
              <w:rPr>
                <w:rFonts w:ascii="Arial" w:eastAsia="Times New Roman" w:hAnsi="Arial" w:cs="Times New Roman"/>
                <w:spacing w:val="-3"/>
                <w:sz w:val="20"/>
                <w:szCs w:val="20"/>
                <w:lang w:eastAsia="es-ES"/>
              </w:rPr>
              <w:t xml:space="preserve">Modificado/Anulado/ por </w:t>
            </w:r>
            <w:proofErr w:type="spellStart"/>
            <w:r w:rsidRPr="005E706D">
              <w:rPr>
                <w:rFonts w:ascii="Arial" w:eastAsia="Times New Roman" w:hAnsi="Arial" w:cs="Times New Roman"/>
                <w:spacing w:val="-3"/>
                <w:sz w:val="20"/>
                <w:szCs w:val="20"/>
                <w:lang w:eastAsia="es-ES"/>
              </w:rPr>
              <w:t>Res.HCD</w:t>
            </w:r>
            <w:proofErr w:type="spellEnd"/>
            <w:r w:rsidRPr="005E706D">
              <w:rPr>
                <w:rFonts w:ascii="Arial" w:eastAsia="Times New Roman" w:hAnsi="Arial" w:cs="Times New Roman"/>
                <w:spacing w:val="-3"/>
                <w:sz w:val="20"/>
                <w:szCs w:val="20"/>
                <w:lang w:eastAsia="es-ES"/>
              </w:rPr>
              <w:t>:</w:t>
            </w:r>
          </w:p>
          <w:p w:rsidR="005E706D" w:rsidRPr="005E706D" w:rsidRDefault="005E706D" w:rsidP="005E706D">
            <w:pPr>
              <w:tabs>
                <w:tab w:val="left" w:pos="-720"/>
              </w:tabs>
              <w:suppressAutoHyphens/>
              <w:spacing w:before="120" w:after="0" w:line="240" w:lineRule="exact"/>
              <w:rPr>
                <w:rFonts w:ascii="Arial" w:eastAsia="Times New Roman" w:hAnsi="Arial" w:cs="Times New Roman"/>
                <w:spacing w:val="-3"/>
                <w:sz w:val="20"/>
                <w:szCs w:val="20"/>
                <w:lang w:eastAsia="es-ES"/>
              </w:rPr>
            </w:pPr>
            <w:r w:rsidRPr="005E706D">
              <w:rPr>
                <w:rFonts w:ascii="Arial" w:eastAsia="Times New Roman" w:hAnsi="Arial" w:cs="Times New Roman"/>
                <w:spacing w:val="-3"/>
                <w:sz w:val="20"/>
                <w:szCs w:val="20"/>
                <w:lang w:eastAsia="es-ES"/>
              </w:rPr>
              <w:t>Fecha:</w:t>
            </w:r>
          </w:p>
        </w:tc>
      </w:tr>
      <w:tr w:rsidR="005E706D" w:rsidRPr="005E706D" w:rsidTr="008E36D3">
        <w:tc>
          <w:tcPr>
            <w:tcW w:w="9497" w:type="dxa"/>
            <w:gridSpan w:val="2"/>
            <w:tcBorders>
              <w:left w:val="double" w:sz="6" w:space="0" w:color="auto"/>
              <w:bottom w:val="double" w:sz="6" w:space="0" w:color="auto"/>
              <w:right w:val="double" w:sz="6" w:space="0" w:color="auto"/>
            </w:tcBorders>
          </w:tcPr>
          <w:p w:rsidR="005E706D" w:rsidRPr="005E706D" w:rsidRDefault="005E706D" w:rsidP="005E706D">
            <w:pPr>
              <w:tabs>
                <w:tab w:val="left" w:pos="-720"/>
              </w:tabs>
              <w:suppressAutoHyphens/>
              <w:spacing w:before="120" w:after="0" w:line="240" w:lineRule="exact"/>
              <w:rPr>
                <w:rFonts w:ascii="Arial" w:eastAsia="Times New Roman" w:hAnsi="Arial" w:cs="Times New Roman"/>
                <w:spacing w:val="-3"/>
                <w:sz w:val="20"/>
                <w:szCs w:val="20"/>
                <w:lang w:eastAsia="es-ES"/>
              </w:rPr>
            </w:pPr>
            <w:r w:rsidRPr="005E706D">
              <w:rPr>
                <w:rFonts w:ascii="Arial" w:eastAsia="Times New Roman" w:hAnsi="Arial" w:cs="Times New Roman"/>
                <w:spacing w:val="-3"/>
                <w:sz w:val="20"/>
                <w:szCs w:val="20"/>
                <w:lang w:eastAsia="es-ES"/>
              </w:rPr>
              <w:t>El Secretario Académico de la Facultad de Ciencias Exactas Físicas y Naturales de la Universidad Nacional de Córdoba certifica que el programa está aprobado por el/</w:t>
            </w:r>
            <w:proofErr w:type="gramStart"/>
            <w:r w:rsidRPr="005E706D">
              <w:rPr>
                <w:rFonts w:ascii="Arial" w:eastAsia="Times New Roman" w:hAnsi="Arial" w:cs="Times New Roman"/>
                <w:spacing w:val="-3"/>
                <w:sz w:val="20"/>
                <w:szCs w:val="20"/>
                <w:lang w:eastAsia="es-ES"/>
              </w:rPr>
              <w:t>los número</w:t>
            </w:r>
            <w:proofErr w:type="gramEnd"/>
            <w:r w:rsidRPr="005E706D">
              <w:rPr>
                <w:rFonts w:ascii="Arial" w:eastAsia="Times New Roman" w:hAnsi="Arial" w:cs="Times New Roman"/>
                <w:spacing w:val="-3"/>
                <w:sz w:val="20"/>
                <w:szCs w:val="20"/>
                <w:lang w:eastAsia="es-ES"/>
              </w:rPr>
              <w:t>/s y fecha/s que anteceden. Córdoba,</w:t>
            </w:r>
          </w:p>
        </w:tc>
      </w:tr>
    </w:tbl>
    <w:p w:rsidR="005E706D" w:rsidRPr="005E706D" w:rsidRDefault="005E706D" w:rsidP="005E706D">
      <w:pPr>
        <w:keepNext/>
        <w:keepLines/>
        <w:spacing w:after="0" w:line="240" w:lineRule="auto"/>
        <w:jc w:val="right"/>
        <w:rPr>
          <w:rFonts w:ascii="Arial" w:eastAsia="Times New Roman" w:hAnsi="Arial" w:cs="Times New Roman"/>
          <w:sz w:val="20"/>
          <w:szCs w:val="20"/>
          <w:lang w:eastAsia="es-ES"/>
        </w:rPr>
      </w:pPr>
    </w:p>
    <w:p w:rsidR="005E706D" w:rsidRPr="005E706D" w:rsidRDefault="005E706D" w:rsidP="005E706D">
      <w:pPr>
        <w:tabs>
          <w:tab w:val="left" w:pos="-720"/>
        </w:tabs>
        <w:suppressAutoHyphens/>
        <w:spacing w:before="120" w:after="0" w:line="240" w:lineRule="auto"/>
        <w:jc w:val="center"/>
        <w:rPr>
          <w:rFonts w:ascii="Arial" w:eastAsia="Times New Roman" w:hAnsi="Arial" w:cs="Times New Roman"/>
          <w:spacing w:val="-3"/>
          <w:sz w:val="20"/>
          <w:szCs w:val="20"/>
          <w:lang w:eastAsia="es-ES"/>
        </w:rPr>
      </w:pPr>
      <w:r w:rsidRPr="005E706D">
        <w:rPr>
          <w:rFonts w:ascii="Arial" w:eastAsia="Times New Roman" w:hAnsi="Arial" w:cs="Times New Roman"/>
          <w:b/>
          <w:sz w:val="20"/>
          <w:szCs w:val="20"/>
          <w:lang w:eastAsia="es-ES"/>
        </w:rPr>
        <w:t>CENTRALES Y MAQUINAS HIDR</w:t>
      </w:r>
      <w:r w:rsidRPr="005E706D">
        <w:rPr>
          <w:rFonts w:ascii="Arial" w:eastAsia="Times New Roman" w:hAnsi="Arial" w:cs="Arial"/>
          <w:b/>
          <w:sz w:val="20"/>
          <w:szCs w:val="20"/>
          <w:lang w:eastAsia="es-ES"/>
        </w:rPr>
        <w:t>Á</w:t>
      </w:r>
      <w:r w:rsidRPr="005E706D">
        <w:rPr>
          <w:rFonts w:ascii="Arial" w:eastAsia="Times New Roman" w:hAnsi="Arial" w:cs="Times New Roman"/>
          <w:b/>
          <w:sz w:val="20"/>
          <w:szCs w:val="20"/>
          <w:lang w:eastAsia="es-ES"/>
        </w:rPr>
        <w:t>ULICAS</w:t>
      </w:r>
    </w:p>
    <w:p w:rsidR="005E706D" w:rsidRPr="005E706D" w:rsidRDefault="005E706D" w:rsidP="005E706D">
      <w:pPr>
        <w:keepNext/>
        <w:keepLines/>
        <w:spacing w:before="120" w:after="0" w:line="240" w:lineRule="auto"/>
        <w:jc w:val="center"/>
        <w:rPr>
          <w:rFonts w:ascii="Arial" w:eastAsia="Times New Roman" w:hAnsi="Arial" w:cs="Arial"/>
          <w:b/>
          <w:sz w:val="20"/>
          <w:szCs w:val="20"/>
          <w:lang w:val="es-ES_tradnl" w:eastAsia="es-ES"/>
        </w:rPr>
      </w:pPr>
      <w:r w:rsidRPr="005E706D">
        <w:rPr>
          <w:rFonts w:ascii="Arial" w:eastAsia="Times New Roman" w:hAnsi="Arial" w:cs="Arial"/>
          <w:b/>
          <w:sz w:val="20"/>
          <w:szCs w:val="20"/>
          <w:lang w:val="es-ES_tradnl" w:eastAsia="es-ES"/>
        </w:rPr>
        <w:lastRenderedPageBreak/>
        <w:t>PROGRAMA ANALÍTICO</w:t>
      </w:r>
    </w:p>
    <w:p w:rsidR="005E706D" w:rsidRPr="005E706D" w:rsidRDefault="005E706D" w:rsidP="005E706D">
      <w:pPr>
        <w:keepNext/>
        <w:keepLines/>
        <w:spacing w:after="0" w:line="240" w:lineRule="auto"/>
        <w:rPr>
          <w:rFonts w:ascii="Arial" w:eastAsia="Times New Roman" w:hAnsi="Arial" w:cs="Arial"/>
          <w:sz w:val="20"/>
          <w:szCs w:val="20"/>
          <w:lang w:eastAsia="es-ES"/>
        </w:rPr>
      </w:pPr>
    </w:p>
    <w:p w:rsidR="005E706D" w:rsidRPr="005E706D" w:rsidRDefault="005E706D" w:rsidP="005E706D">
      <w:pPr>
        <w:spacing w:after="0" w:line="240" w:lineRule="auto"/>
        <w:rPr>
          <w:rFonts w:ascii="Arial" w:eastAsia="Times New Roman" w:hAnsi="Arial" w:cs="Arial"/>
          <w:b/>
          <w:sz w:val="20"/>
          <w:szCs w:val="20"/>
          <w:u w:val="single"/>
          <w:lang w:eastAsia="es-ES"/>
        </w:rPr>
      </w:pPr>
      <w:r w:rsidRPr="005E706D">
        <w:rPr>
          <w:rFonts w:ascii="Arial" w:eastAsia="Times New Roman" w:hAnsi="Arial" w:cs="Arial"/>
          <w:b/>
          <w:sz w:val="20"/>
          <w:szCs w:val="20"/>
          <w:u w:val="single"/>
          <w:lang w:eastAsia="es-ES"/>
        </w:rPr>
        <w:t>Unidad I</w:t>
      </w:r>
      <w:r w:rsidRPr="005E706D">
        <w:rPr>
          <w:rFonts w:ascii="Arial" w:eastAsia="Times New Roman" w:hAnsi="Arial" w:cs="Arial"/>
          <w:b/>
          <w:sz w:val="20"/>
          <w:szCs w:val="20"/>
          <w:lang w:eastAsia="es-ES"/>
        </w:rPr>
        <w:t xml:space="preserve"> – Presas de Materiales Sueltos</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Presas de Materiales Sueltos. Conceptos fundamentales. Clasificación. Presas de tierra. Altura. Perfil transversal. Taludes. Ancho de coronamiento. Resguardo. Protección de taludes. Banquetas. Rotura de presas. Impermeabilidad. Materiales del cuerpo de presa. Propiedades. Preparación, colocación y transporte de material. Maquinaria. Línea de saturación. Drenes, espaldones y núcleos. Rastrillos. Zampeados. Desembalse rápido. Asientos. Presas de escollera. Tipos de perfiles. Impermeabilización. Pantallas.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p>
    <w:p w:rsidR="005E706D" w:rsidRPr="005E706D" w:rsidRDefault="005E706D" w:rsidP="005E706D">
      <w:pPr>
        <w:spacing w:after="0" w:line="240" w:lineRule="auto"/>
        <w:rPr>
          <w:rFonts w:ascii="Arial" w:eastAsia="Times New Roman" w:hAnsi="Arial" w:cs="Arial"/>
          <w:b/>
          <w:sz w:val="20"/>
          <w:szCs w:val="20"/>
          <w:lang w:eastAsia="es-ES"/>
        </w:rPr>
      </w:pPr>
      <w:r w:rsidRPr="005E706D">
        <w:rPr>
          <w:rFonts w:ascii="Arial" w:eastAsia="Times New Roman" w:hAnsi="Arial" w:cs="Arial"/>
          <w:b/>
          <w:sz w:val="20"/>
          <w:szCs w:val="20"/>
          <w:u w:val="single"/>
          <w:lang w:eastAsia="es-ES"/>
        </w:rPr>
        <w:t>Unidad II</w:t>
      </w:r>
      <w:r w:rsidRPr="005E706D">
        <w:rPr>
          <w:rFonts w:ascii="Arial" w:eastAsia="Times New Roman" w:hAnsi="Arial" w:cs="Arial"/>
          <w:sz w:val="20"/>
          <w:szCs w:val="20"/>
          <w:lang w:eastAsia="es-ES"/>
        </w:rPr>
        <w:t xml:space="preserve"> </w:t>
      </w:r>
      <w:r w:rsidRPr="005E706D">
        <w:rPr>
          <w:rFonts w:ascii="Arial" w:eastAsia="Times New Roman" w:hAnsi="Arial" w:cs="Arial"/>
          <w:b/>
          <w:sz w:val="20"/>
          <w:szCs w:val="20"/>
          <w:lang w:eastAsia="es-ES"/>
        </w:rPr>
        <w:t xml:space="preserve">– Fundación de Presas </w:t>
      </w:r>
    </w:p>
    <w:p w:rsidR="005E706D" w:rsidRPr="005E706D" w:rsidRDefault="005E706D" w:rsidP="005E706D">
      <w:pPr>
        <w:spacing w:after="0" w:line="240" w:lineRule="auto"/>
        <w:rPr>
          <w:rFonts w:ascii="Arial" w:eastAsia="Times New Roman" w:hAnsi="Arial" w:cs="Arial"/>
          <w:sz w:val="20"/>
          <w:szCs w:val="20"/>
          <w:lang w:eastAsia="es-ES"/>
        </w:rPr>
      </w:pPr>
    </w:p>
    <w:p w:rsidR="005E706D" w:rsidRPr="005E706D" w:rsidRDefault="005E706D" w:rsidP="005E706D">
      <w:pPr>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Fundación de Presas. Generalidades. Estudios geológico-geotécnicos. Fuentes de información. Métodos exploratorios del subsuelo. Métodos geofísicos. Ensayos de laboratorio y de campo. Cimientos rocosos. Características de cimientos de arena y grava. Métodos de tratamiento. Proyectos de cimentación. Tratamientos de cimientos de limo y arcilla. Presas sobre cimentación permeable. Zampeados. Pantallas. </w:t>
      </w:r>
      <w:proofErr w:type="spellStart"/>
      <w:r w:rsidRPr="005E706D">
        <w:rPr>
          <w:rFonts w:ascii="Arial" w:eastAsia="Times New Roman" w:hAnsi="Arial" w:cs="Arial"/>
          <w:sz w:val="20"/>
          <w:szCs w:val="20"/>
          <w:lang w:eastAsia="es-ES"/>
        </w:rPr>
        <w:t>Subpresión</w:t>
      </w:r>
      <w:proofErr w:type="spellEnd"/>
      <w:r w:rsidRPr="005E706D">
        <w:rPr>
          <w:rFonts w:ascii="Arial" w:eastAsia="Times New Roman" w:hAnsi="Arial" w:cs="Arial"/>
          <w:sz w:val="20"/>
          <w:szCs w:val="20"/>
          <w:lang w:eastAsia="es-ES"/>
        </w:rPr>
        <w:t xml:space="preserve"> y filtración. Fundación de vertederos.</w:t>
      </w:r>
    </w:p>
    <w:p w:rsidR="005E706D" w:rsidRPr="005E706D" w:rsidRDefault="005E706D" w:rsidP="005E706D">
      <w:pPr>
        <w:spacing w:after="0" w:line="240" w:lineRule="auto"/>
        <w:rPr>
          <w:rFonts w:ascii="Arial" w:eastAsia="Times New Roman" w:hAnsi="Arial" w:cs="Arial"/>
          <w:sz w:val="20"/>
          <w:szCs w:val="20"/>
          <w:lang w:eastAsia="es-ES"/>
        </w:rPr>
      </w:pPr>
    </w:p>
    <w:p w:rsidR="005E706D" w:rsidRPr="005E706D" w:rsidRDefault="005E706D" w:rsidP="005E706D">
      <w:pPr>
        <w:spacing w:after="0" w:line="240" w:lineRule="auto"/>
        <w:rPr>
          <w:rFonts w:ascii="Arial" w:eastAsia="Times New Roman" w:hAnsi="Arial" w:cs="Arial"/>
          <w:b/>
          <w:sz w:val="20"/>
          <w:szCs w:val="20"/>
          <w:u w:val="single"/>
          <w:lang w:eastAsia="es-ES"/>
        </w:rPr>
      </w:pPr>
      <w:r w:rsidRPr="005E706D">
        <w:rPr>
          <w:rFonts w:ascii="Arial" w:eastAsia="Times New Roman" w:hAnsi="Arial" w:cs="Arial"/>
          <w:b/>
          <w:sz w:val="20"/>
          <w:szCs w:val="20"/>
          <w:u w:val="single"/>
          <w:lang w:eastAsia="es-ES"/>
        </w:rPr>
        <w:t xml:space="preserve">Unidad III </w:t>
      </w:r>
      <w:r w:rsidRPr="005E706D">
        <w:rPr>
          <w:rFonts w:ascii="Arial" w:eastAsia="Times New Roman" w:hAnsi="Arial" w:cs="Arial"/>
          <w:b/>
          <w:sz w:val="20"/>
          <w:szCs w:val="20"/>
          <w:lang w:eastAsia="es-ES"/>
        </w:rPr>
        <w:t>– Presas de Gravedad y Arco</w:t>
      </w:r>
      <w:r w:rsidRPr="005E706D">
        <w:rPr>
          <w:rFonts w:ascii="Arial" w:eastAsia="Times New Roman" w:hAnsi="Arial" w:cs="Arial"/>
          <w:b/>
          <w:sz w:val="20"/>
          <w:szCs w:val="20"/>
          <w:u w:val="single"/>
          <w:lang w:eastAsia="es-ES"/>
        </w:rPr>
        <w:t xml:space="preserve"> </w:t>
      </w: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Presas de Gravedad. Conceptos fundamentales. Evolución del perfil. Estabilidad al vuelco y deslizamiento. Distribución de tensiones y deformaciones en presas de gravedad. Acciones dinámicas. Métodos constructivos. Materiales utilizados. Presas de HCR. Métodos constructivos. Presas en Arco. Ventajas. Condiciones de aplicación. Estribos. Acción de ménsula y arco. Juntas horizontales. Tipos de presas de arco. Presas de radio constante. Presas de radio variable. Métodos de cálculo. Deformaciones en estribos y cimentación. Condiciones de aplicación. Método de elementos finitos. Presas arco-gravedad.</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r w:rsidRPr="005E706D">
        <w:rPr>
          <w:rFonts w:ascii="Arial" w:eastAsia="Times New Roman" w:hAnsi="Arial" w:cs="Arial"/>
          <w:b/>
          <w:sz w:val="20"/>
          <w:szCs w:val="20"/>
          <w:u w:val="single"/>
          <w:lang w:eastAsia="es-ES"/>
        </w:rPr>
        <w:t>Unidad IV</w:t>
      </w:r>
      <w:r w:rsidRPr="005E706D">
        <w:rPr>
          <w:rFonts w:ascii="Arial" w:eastAsia="Times New Roman" w:hAnsi="Arial" w:cs="Arial"/>
          <w:b/>
          <w:sz w:val="20"/>
          <w:szCs w:val="20"/>
          <w:lang w:eastAsia="es-ES"/>
        </w:rPr>
        <w:t xml:space="preserve"> – Vertederos</w:t>
      </w: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Vertederos. Partes componentes. Funcionamiento hidráulico. Perfil de vertedero. Fijación de la capacidad del vertedero. Análisis de riesgo. Adaptación del vertedero al resto de la presa. Muros cajeros. Pilas. Vertederos con compuertas. Mecanismos. Hidráulica de las rápidas. Emulsión de aire. Cuencos amortiguadores. Resalto hidráulico. Diseños tipo. Problemas en un vertedero. Saltos esquí. </w:t>
      </w:r>
      <w:proofErr w:type="spellStart"/>
      <w:r w:rsidRPr="005E706D">
        <w:rPr>
          <w:rFonts w:ascii="Arial" w:eastAsia="Times New Roman" w:hAnsi="Arial" w:cs="Arial"/>
          <w:sz w:val="20"/>
          <w:szCs w:val="20"/>
          <w:lang w:eastAsia="es-ES"/>
        </w:rPr>
        <w:t>Morning</w:t>
      </w:r>
      <w:proofErr w:type="spellEnd"/>
      <w:r w:rsidRPr="005E706D">
        <w:rPr>
          <w:rFonts w:ascii="Arial" w:eastAsia="Times New Roman" w:hAnsi="Arial" w:cs="Arial"/>
          <w:sz w:val="20"/>
          <w:szCs w:val="20"/>
          <w:lang w:eastAsia="es-ES"/>
        </w:rPr>
        <w:t xml:space="preserve"> </w:t>
      </w:r>
      <w:proofErr w:type="spellStart"/>
      <w:r w:rsidRPr="005E706D">
        <w:rPr>
          <w:rFonts w:ascii="Arial" w:eastAsia="Times New Roman" w:hAnsi="Arial" w:cs="Arial"/>
          <w:sz w:val="20"/>
          <w:szCs w:val="20"/>
          <w:lang w:eastAsia="es-ES"/>
        </w:rPr>
        <w:t>Glory</w:t>
      </w:r>
      <w:proofErr w:type="spellEnd"/>
      <w:r w:rsidRPr="005E706D">
        <w:rPr>
          <w:rFonts w:ascii="Arial" w:eastAsia="Times New Roman" w:hAnsi="Arial" w:cs="Arial"/>
          <w:sz w:val="20"/>
          <w:szCs w:val="20"/>
          <w:lang w:eastAsia="es-ES"/>
        </w:rPr>
        <w:t>. Chorros cruzados.</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u w:val="single"/>
          <w:lang w:eastAsia="es-ES"/>
        </w:rPr>
      </w:pPr>
      <w:r w:rsidRPr="005E706D">
        <w:rPr>
          <w:rFonts w:ascii="Arial" w:eastAsia="Times New Roman" w:hAnsi="Arial" w:cs="Arial"/>
          <w:b/>
          <w:sz w:val="20"/>
          <w:szCs w:val="20"/>
          <w:u w:val="single"/>
          <w:lang w:eastAsia="es-ES"/>
        </w:rPr>
        <w:t xml:space="preserve">Unidad V </w:t>
      </w:r>
      <w:r w:rsidRPr="005E706D">
        <w:rPr>
          <w:rFonts w:ascii="Arial" w:eastAsia="Times New Roman" w:hAnsi="Arial" w:cs="Arial"/>
          <w:b/>
          <w:sz w:val="20"/>
          <w:szCs w:val="20"/>
          <w:lang w:eastAsia="es-ES"/>
        </w:rPr>
        <w:t>– Obras de toma y conducción</w:t>
      </w:r>
      <w:r w:rsidRPr="005E706D">
        <w:rPr>
          <w:rFonts w:ascii="Arial" w:eastAsia="Times New Roman" w:hAnsi="Arial" w:cs="Arial"/>
          <w:b/>
          <w:sz w:val="20"/>
          <w:szCs w:val="20"/>
          <w:u w:val="single"/>
          <w:lang w:eastAsia="es-ES"/>
        </w:rPr>
        <w:t xml:space="preserve"> </w:t>
      </w: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u w:val="single"/>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Obras de toma, descarga y derivación. Ubicación. Tomas en embalses de regulación. Tomas en presas de derivación. Tomas en esquemas reversibles. Descargadores de fondo. </w:t>
      </w:r>
      <w:proofErr w:type="spellStart"/>
      <w:r w:rsidRPr="005E706D">
        <w:rPr>
          <w:rFonts w:ascii="Arial" w:eastAsia="Times New Roman" w:hAnsi="Arial" w:cs="Arial"/>
          <w:sz w:val="20"/>
          <w:szCs w:val="20"/>
          <w:lang w:eastAsia="es-ES"/>
        </w:rPr>
        <w:t>Desarenadotes</w:t>
      </w:r>
      <w:proofErr w:type="spellEnd"/>
      <w:r w:rsidRPr="005E706D">
        <w:rPr>
          <w:rFonts w:ascii="Arial" w:eastAsia="Times New Roman" w:hAnsi="Arial" w:cs="Arial"/>
          <w:sz w:val="20"/>
          <w:szCs w:val="20"/>
          <w:lang w:eastAsia="es-ES"/>
        </w:rPr>
        <w:t>. Función limpiadora. Función en el desvío. Control de nivel y vaciado. Funcionamiento hidráulico. Cavitación. Abrasión. Rejas. Compuertas.</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u w:val="single"/>
          <w:lang w:eastAsia="es-ES"/>
        </w:rPr>
      </w:pPr>
      <w:r w:rsidRPr="005E706D">
        <w:rPr>
          <w:rFonts w:ascii="Arial" w:eastAsia="Times New Roman" w:hAnsi="Arial" w:cs="Arial"/>
          <w:b/>
          <w:sz w:val="20"/>
          <w:szCs w:val="20"/>
          <w:u w:val="single"/>
          <w:lang w:eastAsia="es-ES"/>
        </w:rPr>
        <w:t xml:space="preserve">Unidad VI </w:t>
      </w:r>
      <w:r w:rsidRPr="005E706D">
        <w:rPr>
          <w:rFonts w:ascii="Arial" w:eastAsia="Times New Roman" w:hAnsi="Arial" w:cs="Arial"/>
          <w:b/>
          <w:sz w:val="20"/>
          <w:szCs w:val="20"/>
          <w:lang w:eastAsia="es-ES"/>
        </w:rPr>
        <w:t>- Túneles en presión</w:t>
      </w:r>
    </w:p>
    <w:p w:rsidR="005E706D" w:rsidRPr="005E706D" w:rsidRDefault="005E706D" w:rsidP="005E706D">
      <w:pPr>
        <w:widowControl w:val="0"/>
        <w:autoSpaceDE w:val="0"/>
        <w:autoSpaceDN w:val="0"/>
        <w:adjustRightInd w:val="0"/>
        <w:spacing w:after="0" w:line="240" w:lineRule="auto"/>
        <w:rPr>
          <w:rFonts w:ascii="Arial" w:eastAsia="Times New Roman" w:hAnsi="Arial" w:cs="Arial"/>
          <w:b/>
          <w:bCs/>
          <w:color w:val="000000"/>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Estado tensional de un macizo rocoso. Distorsión del estado tensional. Descompresión. Trazado en planta y perfil. Tipos de sección. Sostenimiento provisional. Revestimiento. Túneles sin revestimiento. Chimeneas. Finalidad de las chimeneas. Consideraciones sobre el dimensionamiento. Tipología. Disposiciones constructivas. Cálculo. Condiciones para el dimensionamiento. Chimeneas en la descarga. Estabilidad. Golpe de Ariete. Ecuación de </w:t>
      </w:r>
      <w:proofErr w:type="spellStart"/>
      <w:r w:rsidRPr="005E706D">
        <w:rPr>
          <w:rFonts w:ascii="Arial" w:eastAsia="Times New Roman" w:hAnsi="Arial" w:cs="Arial"/>
          <w:sz w:val="20"/>
          <w:szCs w:val="20"/>
          <w:lang w:eastAsia="es-ES"/>
        </w:rPr>
        <w:t>Allievi</w:t>
      </w:r>
      <w:proofErr w:type="spellEnd"/>
      <w:r w:rsidRPr="005E706D">
        <w:rPr>
          <w:rFonts w:ascii="Arial" w:eastAsia="Times New Roman" w:hAnsi="Arial" w:cs="Arial"/>
          <w:sz w:val="20"/>
          <w:szCs w:val="20"/>
          <w:lang w:eastAsia="es-ES"/>
        </w:rPr>
        <w:t>. Cierre Rápido y cierre lento. Método de las características. Transitorios ocasionados por las turbinas.</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u w:val="single"/>
          <w:lang w:eastAsia="es-ES"/>
        </w:rPr>
      </w:pPr>
      <w:r w:rsidRPr="005E706D">
        <w:rPr>
          <w:rFonts w:ascii="Arial" w:eastAsia="Times New Roman" w:hAnsi="Arial" w:cs="Arial"/>
          <w:b/>
          <w:sz w:val="20"/>
          <w:szCs w:val="20"/>
          <w:u w:val="single"/>
          <w:lang w:eastAsia="es-ES"/>
        </w:rPr>
        <w:t xml:space="preserve">Unidad VII </w:t>
      </w:r>
      <w:r w:rsidRPr="005E706D">
        <w:rPr>
          <w:rFonts w:ascii="Arial" w:eastAsia="Times New Roman" w:hAnsi="Arial" w:cs="Arial"/>
          <w:b/>
          <w:sz w:val="20"/>
          <w:szCs w:val="20"/>
          <w:lang w:eastAsia="es-ES"/>
        </w:rPr>
        <w:t>– Operación y mantenimiento</w:t>
      </w:r>
      <w:r w:rsidRPr="005E706D">
        <w:rPr>
          <w:rFonts w:ascii="Arial" w:eastAsia="Times New Roman" w:hAnsi="Arial" w:cs="Arial"/>
          <w:b/>
          <w:sz w:val="20"/>
          <w:szCs w:val="20"/>
          <w:u w:val="single"/>
          <w:lang w:eastAsia="es-ES"/>
        </w:rPr>
        <w:t xml:space="preserve"> </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Operación y Mantenimiento de Presas. Explotación, vigilancia y observación. Puesta en carga de la presa. Vigilancia y auscultación. Observaciones estructurales. Observación de las filtraciones. Mantenimiento de los desagües. Operaciones de control de crecidas. </w:t>
      </w:r>
      <w:r w:rsidRPr="005E706D">
        <w:rPr>
          <w:rFonts w:ascii="Arial" w:eastAsia="Times New Roman" w:hAnsi="Arial" w:cs="Arial"/>
          <w:sz w:val="20"/>
          <w:szCs w:val="20"/>
          <w:lang w:eastAsia="es-ES"/>
        </w:rPr>
        <w:lastRenderedPageBreak/>
        <w:t>Automatización. Medidas de emergencia y protección civil. Refuerzos y recrecimientos. Incidencia en la explotación. Problemas constructivos. Refuerzos de taludes. Abandono de presas. Conceptos preliminares.</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u w:val="single"/>
          <w:lang w:eastAsia="es-ES"/>
        </w:rPr>
      </w:pPr>
      <w:r w:rsidRPr="005E706D">
        <w:rPr>
          <w:rFonts w:ascii="Arial" w:eastAsia="Times New Roman" w:hAnsi="Arial" w:cs="Arial"/>
          <w:b/>
          <w:sz w:val="20"/>
          <w:szCs w:val="20"/>
          <w:u w:val="single"/>
          <w:lang w:eastAsia="es-ES"/>
        </w:rPr>
        <w:t xml:space="preserve">Unidad VIII </w:t>
      </w:r>
      <w:r w:rsidRPr="005E706D">
        <w:rPr>
          <w:rFonts w:ascii="Arial" w:eastAsia="Times New Roman" w:hAnsi="Arial" w:cs="Arial"/>
          <w:b/>
          <w:sz w:val="20"/>
          <w:szCs w:val="20"/>
          <w:lang w:eastAsia="es-ES"/>
        </w:rPr>
        <w:t>– Conceptos preliminares</w:t>
      </w:r>
      <w:r w:rsidRPr="005E706D">
        <w:rPr>
          <w:rFonts w:ascii="Arial" w:eastAsia="Times New Roman" w:hAnsi="Arial" w:cs="Arial"/>
          <w:b/>
          <w:sz w:val="20"/>
          <w:szCs w:val="20"/>
          <w:u w:val="single"/>
          <w:lang w:eastAsia="es-ES"/>
        </w:rPr>
        <w:t xml:space="preserve"> </w:t>
      </w: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Conceptos básicos. Introducción. Potencial bruto. Esquemas básicos. Potencia y </w:t>
      </w:r>
      <w:proofErr w:type="gramStart"/>
      <w:r w:rsidRPr="005E706D">
        <w:rPr>
          <w:rFonts w:ascii="Arial" w:eastAsia="Times New Roman" w:hAnsi="Arial" w:cs="Arial"/>
          <w:sz w:val="20"/>
          <w:szCs w:val="20"/>
          <w:lang w:eastAsia="es-ES"/>
        </w:rPr>
        <w:t>energía efectivas</w:t>
      </w:r>
      <w:proofErr w:type="gramEnd"/>
      <w:r w:rsidRPr="005E706D">
        <w:rPr>
          <w:rFonts w:ascii="Arial" w:eastAsia="Times New Roman" w:hAnsi="Arial" w:cs="Arial"/>
          <w:sz w:val="20"/>
          <w:szCs w:val="20"/>
          <w:lang w:eastAsia="es-ES"/>
        </w:rPr>
        <w:t>. Variabilidad de caudales. Centrales subterráneas. Centrales reversibles. Captaciones. Elementos de cierre y protección. Centrales hidroeléctricas en aprovechamientos de uso múltiple. Componentes de un aprovechamiento hidroeléctrico. Definiciones. Energía hidroeléctrica y medio ambiente</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r w:rsidRPr="005E706D">
        <w:rPr>
          <w:rFonts w:ascii="Arial" w:eastAsia="Times New Roman" w:hAnsi="Arial" w:cs="Arial"/>
          <w:b/>
          <w:sz w:val="20"/>
          <w:szCs w:val="20"/>
          <w:u w:val="single"/>
          <w:lang w:eastAsia="es-ES"/>
        </w:rPr>
        <w:t>Unidad IX</w:t>
      </w:r>
      <w:r w:rsidRPr="005E706D">
        <w:rPr>
          <w:rFonts w:ascii="Arial" w:eastAsia="Times New Roman" w:hAnsi="Arial" w:cs="Arial"/>
          <w:b/>
          <w:sz w:val="20"/>
          <w:szCs w:val="20"/>
          <w:lang w:eastAsia="es-ES"/>
        </w:rPr>
        <w:t xml:space="preserve"> - Energía disponible en mares y océanos </w:t>
      </w: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Energía disponible en mares y océanos. Centrales mareomotrices. Antecedentes históricos. Centrales de uno y dos reservorios. Centrales en flujo y reflujo. Regulación. Centrales por evaporación. Condiciones de aprovechamiento. Energía de las olas</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widowControl w:val="0"/>
        <w:autoSpaceDE w:val="0"/>
        <w:autoSpaceDN w:val="0"/>
        <w:adjustRightInd w:val="0"/>
        <w:spacing w:after="0" w:line="240" w:lineRule="auto"/>
        <w:rPr>
          <w:rFonts w:ascii="Arial" w:eastAsia="Times New Roman" w:hAnsi="Arial" w:cs="Arial"/>
          <w:b/>
          <w:sz w:val="20"/>
          <w:szCs w:val="20"/>
          <w:lang w:eastAsia="ar-SA"/>
        </w:rPr>
      </w:pPr>
      <w:r w:rsidRPr="005E706D">
        <w:rPr>
          <w:rFonts w:ascii="Arial" w:eastAsia="Times New Roman" w:hAnsi="Arial" w:cs="Arial"/>
          <w:b/>
          <w:color w:val="000000"/>
          <w:sz w:val="20"/>
          <w:szCs w:val="20"/>
          <w:u w:val="single"/>
          <w:lang w:eastAsia="ar-SA"/>
        </w:rPr>
        <w:t>Unidad X</w:t>
      </w:r>
      <w:r w:rsidRPr="005E706D">
        <w:rPr>
          <w:rFonts w:ascii="Arial" w:eastAsia="Times New Roman" w:hAnsi="Arial" w:cs="Arial"/>
          <w:b/>
          <w:color w:val="000000"/>
          <w:sz w:val="20"/>
          <w:szCs w:val="20"/>
          <w:lang w:eastAsia="ar-SA"/>
        </w:rPr>
        <w:t xml:space="preserve">- </w:t>
      </w:r>
      <w:r w:rsidRPr="005E706D">
        <w:rPr>
          <w:rFonts w:ascii="Arial" w:eastAsia="Times New Roman" w:hAnsi="Arial" w:cs="Arial"/>
          <w:b/>
          <w:sz w:val="20"/>
          <w:szCs w:val="20"/>
          <w:lang w:eastAsia="ar-SA"/>
        </w:rPr>
        <w:t xml:space="preserve">Mercado eléctrico </w:t>
      </w: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Mercado eléctrico. Características generales. Curvas de carga. Producción y consumo de la energía eléctrica. Tipos de centrales de generación. Costo de las centrales. Función de las centrales de generación en el sistema. Potencia garantizada. Valoración de los proyectos hidroeléctricos. Equivalencia energética </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widowControl w:val="0"/>
        <w:autoSpaceDE w:val="0"/>
        <w:autoSpaceDN w:val="0"/>
        <w:adjustRightInd w:val="0"/>
        <w:spacing w:after="0" w:line="240" w:lineRule="auto"/>
        <w:rPr>
          <w:rFonts w:ascii="Arial" w:eastAsia="Times New Roman" w:hAnsi="Arial" w:cs="Arial"/>
          <w:b/>
          <w:sz w:val="20"/>
          <w:szCs w:val="20"/>
          <w:lang w:eastAsia="ar-SA"/>
        </w:rPr>
      </w:pPr>
      <w:r w:rsidRPr="005E706D">
        <w:rPr>
          <w:rFonts w:ascii="Arial" w:eastAsia="Times New Roman" w:hAnsi="Arial" w:cs="Arial"/>
          <w:b/>
          <w:color w:val="000000"/>
          <w:sz w:val="20"/>
          <w:szCs w:val="20"/>
          <w:u w:val="single"/>
          <w:lang w:eastAsia="ar-SA"/>
        </w:rPr>
        <w:t xml:space="preserve">Unidad XI </w:t>
      </w:r>
      <w:r w:rsidRPr="005E706D">
        <w:rPr>
          <w:rFonts w:ascii="Arial" w:eastAsia="Times New Roman" w:hAnsi="Arial" w:cs="Arial"/>
          <w:b/>
          <w:color w:val="000000"/>
          <w:sz w:val="20"/>
          <w:szCs w:val="20"/>
          <w:lang w:eastAsia="es-ES"/>
        </w:rPr>
        <w:t>–</w:t>
      </w:r>
      <w:r w:rsidRPr="005E706D">
        <w:rPr>
          <w:rFonts w:ascii="Arial" w:eastAsia="Times New Roman" w:hAnsi="Arial" w:cs="Arial"/>
          <w:b/>
          <w:color w:val="000000"/>
          <w:sz w:val="20"/>
          <w:szCs w:val="20"/>
          <w:lang w:eastAsia="ar-SA"/>
        </w:rPr>
        <w:t xml:space="preserve"> </w:t>
      </w:r>
      <w:r w:rsidRPr="005E706D">
        <w:rPr>
          <w:rFonts w:ascii="Arial" w:eastAsia="Times New Roman" w:hAnsi="Arial" w:cs="Arial"/>
          <w:b/>
          <w:sz w:val="20"/>
          <w:szCs w:val="20"/>
          <w:lang w:eastAsia="ar-SA"/>
        </w:rPr>
        <w:t xml:space="preserve">Aprovechamiento integral de una cuenca </w:t>
      </w: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r w:rsidRPr="005E706D">
        <w:rPr>
          <w:rFonts w:ascii="Arial" w:eastAsia="Times New Roman" w:hAnsi="Arial" w:cs="Arial"/>
          <w:sz w:val="20"/>
          <w:szCs w:val="20"/>
          <w:lang w:eastAsia="es-ES"/>
        </w:rPr>
        <w:t>Aprovechamiento integral de una cuenca. Información de partida. Potencial energético. Aprovechamiento del potencial energético. Estudio de los embalses. Modelos de simulación. Construcción escalonada.</w:t>
      </w: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p>
    <w:p w:rsidR="005E706D" w:rsidRPr="005E706D" w:rsidRDefault="005E706D" w:rsidP="005E706D">
      <w:pPr>
        <w:widowControl w:val="0"/>
        <w:autoSpaceDE w:val="0"/>
        <w:autoSpaceDN w:val="0"/>
        <w:adjustRightInd w:val="0"/>
        <w:spacing w:after="0" w:line="240" w:lineRule="auto"/>
        <w:rPr>
          <w:rFonts w:ascii="Arial" w:eastAsia="Times New Roman" w:hAnsi="Arial" w:cs="Arial"/>
          <w:b/>
          <w:sz w:val="20"/>
          <w:szCs w:val="20"/>
          <w:lang w:eastAsia="ar-SA"/>
        </w:rPr>
      </w:pPr>
      <w:r w:rsidRPr="005E706D">
        <w:rPr>
          <w:rFonts w:ascii="Arial" w:eastAsia="Times New Roman" w:hAnsi="Arial" w:cs="Arial"/>
          <w:b/>
          <w:color w:val="000000"/>
          <w:sz w:val="20"/>
          <w:szCs w:val="20"/>
          <w:u w:val="single"/>
          <w:lang w:eastAsia="es-ES"/>
        </w:rPr>
        <w:t xml:space="preserve">Unidad XII </w:t>
      </w:r>
      <w:r w:rsidRPr="005E706D">
        <w:rPr>
          <w:rFonts w:ascii="Arial" w:eastAsia="Times New Roman" w:hAnsi="Arial" w:cs="Arial"/>
          <w:b/>
          <w:color w:val="000000"/>
          <w:sz w:val="20"/>
          <w:szCs w:val="20"/>
          <w:lang w:eastAsia="es-ES"/>
        </w:rPr>
        <w:t xml:space="preserve">– </w:t>
      </w:r>
      <w:r w:rsidRPr="005E706D">
        <w:rPr>
          <w:rFonts w:ascii="Arial" w:eastAsia="Times New Roman" w:hAnsi="Arial" w:cs="Arial"/>
          <w:b/>
          <w:sz w:val="20"/>
          <w:szCs w:val="20"/>
          <w:lang w:eastAsia="ar-SA"/>
        </w:rPr>
        <w:t xml:space="preserve">Chimeneas de equilibrio </w:t>
      </w:r>
    </w:p>
    <w:p w:rsidR="005E706D" w:rsidRPr="005E706D" w:rsidRDefault="005E706D" w:rsidP="005E706D">
      <w:pPr>
        <w:widowControl w:val="0"/>
        <w:autoSpaceDE w:val="0"/>
        <w:autoSpaceDN w:val="0"/>
        <w:adjustRightInd w:val="0"/>
        <w:spacing w:after="0" w:line="240" w:lineRule="auto"/>
        <w:rPr>
          <w:rFonts w:ascii="Arial" w:eastAsia="Times New Roman" w:hAnsi="Arial" w:cs="Arial"/>
          <w:b/>
          <w:color w:val="000000"/>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Chimeneas de equilibrio. Finalidad. Funcionamiento. Consideraciones sobre el dimensionamiento. Tipología. Cámaras de aire comprimido. Chimeneas en la descarga. Disposiciones constructivas. Cálculo. Ecuaciones básicas. Condiciones para el dimensionamiento. Estabilidad. Cálculo simplificado. Chimenea en la descarga.</w:t>
      </w: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p>
    <w:p w:rsidR="005E706D" w:rsidRPr="005E706D" w:rsidRDefault="005E706D" w:rsidP="005E706D">
      <w:pPr>
        <w:widowControl w:val="0"/>
        <w:autoSpaceDE w:val="0"/>
        <w:autoSpaceDN w:val="0"/>
        <w:adjustRightInd w:val="0"/>
        <w:spacing w:after="0" w:line="240" w:lineRule="auto"/>
        <w:rPr>
          <w:rFonts w:ascii="Arial" w:eastAsia="Times New Roman" w:hAnsi="Arial" w:cs="Arial"/>
          <w:b/>
          <w:sz w:val="20"/>
          <w:szCs w:val="20"/>
          <w:lang w:eastAsia="ar-SA"/>
        </w:rPr>
      </w:pPr>
      <w:r w:rsidRPr="005E706D">
        <w:rPr>
          <w:rFonts w:ascii="Arial" w:eastAsia="Times New Roman" w:hAnsi="Arial" w:cs="Arial"/>
          <w:b/>
          <w:color w:val="000000"/>
          <w:sz w:val="20"/>
          <w:szCs w:val="20"/>
          <w:u w:val="single"/>
          <w:lang w:eastAsia="es-ES"/>
        </w:rPr>
        <w:t xml:space="preserve">Unidad XIII </w:t>
      </w:r>
      <w:r w:rsidRPr="005E706D">
        <w:rPr>
          <w:rFonts w:ascii="Arial" w:eastAsia="Times New Roman" w:hAnsi="Arial" w:cs="Arial"/>
          <w:b/>
          <w:color w:val="000000"/>
          <w:sz w:val="20"/>
          <w:szCs w:val="20"/>
          <w:lang w:eastAsia="es-ES"/>
        </w:rPr>
        <w:t xml:space="preserve">– </w:t>
      </w:r>
      <w:r w:rsidRPr="005E706D">
        <w:rPr>
          <w:rFonts w:ascii="Arial" w:eastAsia="Times New Roman" w:hAnsi="Arial" w:cs="Arial"/>
          <w:b/>
          <w:sz w:val="20"/>
          <w:szCs w:val="20"/>
          <w:lang w:eastAsia="ar-SA"/>
        </w:rPr>
        <w:t xml:space="preserve">Tuberías forzadas y Pozos a presión </w:t>
      </w: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Tuberías forzadas. Golpe de ariete. Influencia de la deformabilidad de la tubería y el agua. Ecuaciones generales. Celeridad de las ondas de presión. Ecuaciones simplificadas. Ecuaciones de </w:t>
      </w:r>
      <w:proofErr w:type="spellStart"/>
      <w:r w:rsidRPr="005E706D">
        <w:rPr>
          <w:rFonts w:ascii="Arial" w:eastAsia="Times New Roman" w:hAnsi="Arial" w:cs="Arial"/>
          <w:sz w:val="20"/>
          <w:szCs w:val="20"/>
          <w:lang w:eastAsia="es-ES"/>
        </w:rPr>
        <w:t>Allievi</w:t>
      </w:r>
      <w:proofErr w:type="spellEnd"/>
      <w:r w:rsidRPr="005E706D">
        <w:rPr>
          <w:rFonts w:ascii="Arial" w:eastAsia="Times New Roman" w:hAnsi="Arial" w:cs="Arial"/>
          <w:sz w:val="20"/>
          <w:szCs w:val="20"/>
          <w:lang w:eastAsia="es-ES"/>
        </w:rPr>
        <w:t xml:space="preserve">. Método de las características. Transitorios ocasionados por las turbinas. Solicitaciones en las tuberías. Materiales. Criterios de dimensionamiento. Disposición. Cálculo de las tuberías exteriores. </w:t>
      </w:r>
      <w:proofErr w:type="gramStart"/>
      <w:r w:rsidRPr="005E706D">
        <w:rPr>
          <w:rFonts w:ascii="Arial" w:eastAsia="Times New Roman" w:hAnsi="Arial" w:cs="Arial"/>
          <w:sz w:val="20"/>
          <w:szCs w:val="20"/>
          <w:lang w:eastAsia="es-ES"/>
        </w:rPr>
        <w:t>Protección anticorrosivo</w:t>
      </w:r>
      <w:proofErr w:type="gramEnd"/>
      <w:r w:rsidRPr="005E706D">
        <w:rPr>
          <w:rFonts w:ascii="Arial" w:eastAsia="Times New Roman" w:hAnsi="Arial" w:cs="Arial"/>
          <w:sz w:val="20"/>
          <w:szCs w:val="20"/>
          <w:lang w:eastAsia="es-ES"/>
        </w:rPr>
        <w:t>. Pozos a presión. Introducción. Excavación. Tipos de pozos. Trazado. Cálculo de los blindajes. Protección anticorrosiva.</w:t>
      </w: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p>
    <w:p w:rsidR="005E706D" w:rsidRPr="005E706D" w:rsidRDefault="005E706D" w:rsidP="005E706D">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5E706D">
        <w:rPr>
          <w:rFonts w:ascii="Arial" w:eastAsia="Times New Roman" w:hAnsi="Arial" w:cs="Arial"/>
          <w:b/>
          <w:color w:val="000000"/>
          <w:sz w:val="20"/>
          <w:szCs w:val="20"/>
          <w:u w:val="single"/>
          <w:lang w:eastAsia="es-ES"/>
        </w:rPr>
        <w:t xml:space="preserve">Unidad XIV </w:t>
      </w:r>
      <w:r w:rsidRPr="005E706D">
        <w:rPr>
          <w:rFonts w:ascii="Arial" w:eastAsia="Times New Roman" w:hAnsi="Arial" w:cs="Arial"/>
          <w:b/>
          <w:color w:val="000000"/>
          <w:sz w:val="20"/>
          <w:szCs w:val="20"/>
          <w:lang w:eastAsia="es-ES"/>
        </w:rPr>
        <w:t xml:space="preserve">– </w:t>
      </w:r>
      <w:r w:rsidRPr="005E706D">
        <w:rPr>
          <w:rFonts w:ascii="Arial" w:eastAsia="Times New Roman" w:hAnsi="Arial" w:cs="Arial"/>
          <w:b/>
          <w:sz w:val="20"/>
          <w:szCs w:val="20"/>
          <w:lang w:eastAsia="ar-SA"/>
        </w:rPr>
        <w:t>Dimensionamiento de los aprovechamientos hidroeléctricos</w:t>
      </w:r>
      <w:r w:rsidRPr="005E706D">
        <w:rPr>
          <w:rFonts w:ascii="Arial" w:eastAsia="Times New Roman" w:hAnsi="Arial" w:cs="Arial"/>
          <w:b/>
          <w:bCs/>
          <w:color w:val="000000"/>
          <w:sz w:val="20"/>
          <w:szCs w:val="20"/>
          <w:lang w:eastAsia="es-ES"/>
        </w:rPr>
        <w:t xml:space="preserve"> </w:t>
      </w:r>
    </w:p>
    <w:p w:rsidR="005E706D" w:rsidRPr="005E706D" w:rsidRDefault="005E706D" w:rsidP="005E706D">
      <w:pPr>
        <w:autoSpaceDE w:val="0"/>
        <w:autoSpaceDN w:val="0"/>
        <w:adjustRightInd w:val="0"/>
        <w:spacing w:after="0" w:line="240" w:lineRule="auto"/>
        <w:rPr>
          <w:rFonts w:ascii="Arial" w:eastAsia="Times New Roman" w:hAnsi="Arial" w:cs="Arial"/>
          <w:b/>
          <w:sz w:val="20"/>
          <w:szCs w:val="20"/>
          <w:lang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Dimensionamiento de los aprovechamientos hidroeléctricos. Proceso de definición de un aprovechamiento hidroeléctrico. Criterios de evaluación. Criterios de dimensionamiento. Centrales de paso. Centrales con regulación. Optimización de la conducción. Evaluación de proyectos. Influencia del mercado. Estudio financiero.</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p>
    <w:p w:rsidR="005E706D" w:rsidRPr="005E706D" w:rsidRDefault="005E706D" w:rsidP="005E706D">
      <w:pPr>
        <w:widowControl w:val="0"/>
        <w:autoSpaceDE w:val="0"/>
        <w:autoSpaceDN w:val="0"/>
        <w:adjustRightInd w:val="0"/>
        <w:spacing w:after="0" w:line="240" w:lineRule="auto"/>
        <w:rPr>
          <w:rFonts w:ascii="Arial" w:eastAsia="Times New Roman" w:hAnsi="Arial" w:cs="Arial"/>
          <w:b/>
          <w:sz w:val="20"/>
          <w:szCs w:val="20"/>
          <w:lang w:eastAsia="ar-SA"/>
        </w:rPr>
      </w:pPr>
      <w:r w:rsidRPr="005E706D">
        <w:rPr>
          <w:rFonts w:ascii="Arial" w:eastAsia="Times New Roman" w:hAnsi="Arial" w:cs="Arial"/>
          <w:b/>
          <w:color w:val="000000"/>
          <w:sz w:val="20"/>
          <w:szCs w:val="20"/>
          <w:u w:val="single"/>
          <w:lang w:eastAsia="es-ES"/>
        </w:rPr>
        <w:t>Unidad XV</w:t>
      </w:r>
      <w:r w:rsidRPr="005E706D">
        <w:rPr>
          <w:rFonts w:ascii="Arial" w:eastAsia="Times New Roman" w:hAnsi="Arial" w:cs="Arial"/>
          <w:b/>
          <w:color w:val="000000"/>
          <w:sz w:val="20"/>
          <w:szCs w:val="20"/>
          <w:u w:val="single"/>
          <w:lang w:eastAsia="ar-SA"/>
        </w:rPr>
        <w:t xml:space="preserve"> </w:t>
      </w:r>
      <w:r w:rsidRPr="005E706D">
        <w:rPr>
          <w:rFonts w:ascii="Arial" w:eastAsia="Times New Roman" w:hAnsi="Arial" w:cs="Arial"/>
          <w:b/>
          <w:color w:val="000000"/>
          <w:sz w:val="20"/>
          <w:szCs w:val="20"/>
          <w:lang w:eastAsia="es-ES"/>
        </w:rPr>
        <w:t>–</w:t>
      </w:r>
      <w:r w:rsidRPr="005E706D">
        <w:rPr>
          <w:rFonts w:ascii="Arial" w:eastAsia="Times New Roman" w:hAnsi="Arial" w:cs="Arial"/>
          <w:b/>
          <w:color w:val="000000"/>
          <w:sz w:val="20"/>
          <w:szCs w:val="20"/>
          <w:lang w:eastAsia="ar-SA"/>
        </w:rPr>
        <w:t xml:space="preserve"> </w:t>
      </w:r>
      <w:r w:rsidRPr="005E706D">
        <w:rPr>
          <w:rFonts w:ascii="Arial" w:eastAsia="Times New Roman" w:hAnsi="Arial" w:cs="Arial"/>
          <w:b/>
          <w:sz w:val="20"/>
          <w:szCs w:val="20"/>
          <w:lang w:eastAsia="ar-SA"/>
        </w:rPr>
        <w:t xml:space="preserve">Máquinas Hidráulicas </w:t>
      </w:r>
    </w:p>
    <w:p w:rsidR="005E706D" w:rsidRPr="005E706D" w:rsidRDefault="005E706D" w:rsidP="005E706D">
      <w:pPr>
        <w:widowControl w:val="0"/>
        <w:autoSpaceDE w:val="0"/>
        <w:autoSpaceDN w:val="0"/>
        <w:adjustRightInd w:val="0"/>
        <w:spacing w:after="0" w:line="240" w:lineRule="auto"/>
        <w:rPr>
          <w:rFonts w:ascii="Arial" w:eastAsia="Times New Roman" w:hAnsi="Arial" w:cs="Arial"/>
          <w:b/>
          <w:sz w:val="20"/>
          <w:szCs w:val="20"/>
          <w:lang w:eastAsia="ar-SA"/>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Turbinas Francis. Turbinas Kaplan. Turbinas Pelton. Bombas centrífugas. Bombas axiales. Alternadores. Regulación. Centrales hidráulicas y Minicentrales.</w:t>
      </w:r>
    </w:p>
    <w:p w:rsidR="005E706D" w:rsidRPr="005E706D" w:rsidRDefault="005E706D" w:rsidP="005E706D">
      <w:pPr>
        <w:spacing w:after="0" w:line="240" w:lineRule="auto"/>
        <w:jc w:val="right"/>
        <w:rPr>
          <w:rFonts w:ascii="Arial" w:eastAsia="Times New Roman" w:hAnsi="Arial" w:cs="Arial"/>
          <w:sz w:val="20"/>
          <w:szCs w:val="20"/>
          <w:lang w:eastAsia="es-ES"/>
        </w:rPr>
      </w:pPr>
    </w:p>
    <w:p w:rsidR="005E706D" w:rsidRPr="005E706D" w:rsidRDefault="005E706D" w:rsidP="005E706D">
      <w:pPr>
        <w:tabs>
          <w:tab w:val="center" w:pos="4513"/>
        </w:tabs>
        <w:spacing w:after="0" w:line="240" w:lineRule="auto"/>
        <w:jc w:val="center"/>
        <w:rPr>
          <w:rFonts w:ascii="Arial" w:eastAsia="Times New Roman" w:hAnsi="Arial" w:cs="Arial"/>
          <w:b/>
          <w:spacing w:val="-3"/>
          <w:sz w:val="20"/>
          <w:szCs w:val="20"/>
          <w:lang w:eastAsia="es-ES"/>
        </w:rPr>
      </w:pPr>
    </w:p>
    <w:p w:rsidR="005E706D" w:rsidRPr="005E706D" w:rsidRDefault="005E706D" w:rsidP="005E706D">
      <w:pPr>
        <w:tabs>
          <w:tab w:val="center" w:pos="4513"/>
        </w:tabs>
        <w:spacing w:after="0" w:line="240" w:lineRule="auto"/>
        <w:jc w:val="center"/>
        <w:rPr>
          <w:rFonts w:ascii="Arial" w:eastAsia="Times New Roman" w:hAnsi="Arial" w:cs="Arial"/>
          <w:b/>
          <w:spacing w:val="-3"/>
          <w:sz w:val="20"/>
          <w:szCs w:val="20"/>
          <w:lang w:eastAsia="es-ES"/>
        </w:rPr>
      </w:pPr>
      <w:r w:rsidRPr="005E706D">
        <w:rPr>
          <w:rFonts w:ascii="Arial" w:eastAsia="Times New Roman" w:hAnsi="Arial" w:cs="Arial"/>
          <w:b/>
          <w:spacing w:val="-3"/>
          <w:sz w:val="20"/>
          <w:szCs w:val="20"/>
          <w:lang w:eastAsia="es-ES"/>
        </w:rPr>
        <w:t>ACTIVIDADES PRÁCTICAS.</w:t>
      </w:r>
    </w:p>
    <w:p w:rsidR="005E706D" w:rsidRPr="005E706D" w:rsidRDefault="005E706D" w:rsidP="005E706D">
      <w:pPr>
        <w:tabs>
          <w:tab w:val="center" w:pos="4513"/>
        </w:tabs>
        <w:spacing w:after="0" w:line="240" w:lineRule="auto"/>
        <w:rPr>
          <w:rFonts w:ascii="Arial" w:eastAsia="Times New Roman" w:hAnsi="Arial" w:cs="Arial"/>
          <w:b/>
          <w:bCs/>
          <w:sz w:val="20"/>
          <w:szCs w:val="20"/>
          <w:lang w:eastAsia="es-ES"/>
        </w:rPr>
      </w:pPr>
    </w:p>
    <w:p w:rsidR="005E706D" w:rsidRPr="005E706D" w:rsidRDefault="005E706D" w:rsidP="005E706D">
      <w:pPr>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La práctica se evalúa en instancias de evaluación final, individual y escrita, por medio de preguntas y resolución de un problema.</w:t>
      </w:r>
    </w:p>
    <w:p w:rsidR="005E706D" w:rsidRPr="005E706D" w:rsidRDefault="005E706D" w:rsidP="005E706D">
      <w:pPr>
        <w:tabs>
          <w:tab w:val="center" w:pos="4513"/>
        </w:tabs>
        <w:spacing w:after="0" w:line="240" w:lineRule="auto"/>
        <w:rPr>
          <w:rFonts w:ascii="Arial" w:eastAsia="Times New Roman" w:hAnsi="Arial" w:cs="Arial"/>
          <w:spacing w:val="-3"/>
          <w:sz w:val="20"/>
          <w:szCs w:val="20"/>
          <w:highlight w:val="yellow"/>
          <w:lang w:eastAsia="es-ES"/>
        </w:rPr>
      </w:pPr>
    </w:p>
    <w:p w:rsidR="005E706D" w:rsidRPr="005E706D" w:rsidRDefault="005E706D" w:rsidP="005E706D">
      <w:pPr>
        <w:tabs>
          <w:tab w:val="center" w:pos="4513"/>
        </w:tabs>
        <w:spacing w:after="0" w:line="240" w:lineRule="auto"/>
        <w:jc w:val="both"/>
        <w:rPr>
          <w:rFonts w:ascii="Arial" w:eastAsia="Times New Roman" w:hAnsi="Arial" w:cs="Arial"/>
          <w:b/>
          <w:spacing w:val="-3"/>
          <w:sz w:val="20"/>
          <w:szCs w:val="20"/>
          <w:lang w:eastAsia="es-ES"/>
        </w:rPr>
      </w:pPr>
      <w:r w:rsidRPr="005E706D">
        <w:rPr>
          <w:rFonts w:ascii="Arial" w:eastAsia="Times New Roman" w:hAnsi="Arial" w:cs="Arial"/>
          <w:b/>
          <w:spacing w:val="-3"/>
          <w:sz w:val="20"/>
          <w:szCs w:val="20"/>
          <w:lang w:eastAsia="es-ES"/>
        </w:rPr>
        <w:t>ACTIVIDADES DE LABORATORIO.</w:t>
      </w:r>
    </w:p>
    <w:p w:rsidR="005E706D" w:rsidRPr="005E706D" w:rsidRDefault="005E706D" w:rsidP="005E706D">
      <w:pPr>
        <w:tabs>
          <w:tab w:val="center" w:pos="4513"/>
        </w:tabs>
        <w:spacing w:after="0" w:line="240" w:lineRule="auto"/>
        <w:rPr>
          <w:rFonts w:ascii="Arial" w:eastAsia="Times New Roman" w:hAnsi="Arial" w:cs="Arial"/>
          <w:spacing w:val="-3"/>
          <w:sz w:val="20"/>
          <w:szCs w:val="20"/>
          <w:lang w:eastAsia="es-ES"/>
        </w:rPr>
      </w:pPr>
      <w:r w:rsidRPr="005E706D">
        <w:rPr>
          <w:rFonts w:ascii="Arial" w:eastAsia="Times New Roman" w:hAnsi="Arial" w:cs="Arial"/>
          <w:spacing w:val="-3"/>
          <w:sz w:val="20"/>
          <w:szCs w:val="20"/>
          <w:lang w:eastAsia="es-ES"/>
        </w:rPr>
        <w:t xml:space="preserve">Se </w:t>
      </w:r>
      <w:proofErr w:type="gramStart"/>
      <w:r w:rsidRPr="005E706D">
        <w:rPr>
          <w:rFonts w:ascii="Arial" w:eastAsia="Times New Roman" w:hAnsi="Arial" w:cs="Arial"/>
          <w:spacing w:val="-3"/>
          <w:sz w:val="20"/>
          <w:szCs w:val="20"/>
          <w:lang w:eastAsia="es-ES"/>
        </w:rPr>
        <w:t>llevaran</w:t>
      </w:r>
      <w:proofErr w:type="gramEnd"/>
      <w:r w:rsidRPr="005E706D">
        <w:rPr>
          <w:rFonts w:ascii="Arial" w:eastAsia="Times New Roman" w:hAnsi="Arial" w:cs="Arial"/>
          <w:spacing w:val="-3"/>
          <w:sz w:val="20"/>
          <w:szCs w:val="20"/>
          <w:lang w:eastAsia="es-ES"/>
        </w:rPr>
        <w:t xml:space="preserve"> a cabo en el laboratorio de hidráulica de la facultad de ciencias exactas, físicas y naturales. </w:t>
      </w:r>
    </w:p>
    <w:p w:rsidR="005E706D" w:rsidRPr="005E706D" w:rsidRDefault="005E706D" w:rsidP="005E706D">
      <w:pPr>
        <w:keepNext/>
        <w:keepLines/>
        <w:spacing w:after="0" w:line="240" w:lineRule="auto"/>
        <w:ind w:left="720"/>
        <w:jc w:val="center"/>
        <w:rPr>
          <w:rFonts w:ascii="Arial" w:eastAsia="Times New Roman" w:hAnsi="Arial" w:cs="Arial"/>
          <w:spacing w:val="-3"/>
          <w:sz w:val="20"/>
          <w:szCs w:val="20"/>
          <w:lang w:eastAsia="es-ES"/>
        </w:rPr>
      </w:pPr>
    </w:p>
    <w:p w:rsidR="005E706D" w:rsidRPr="005E706D" w:rsidRDefault="005E706D" w:rsidP="005E706D">
      <w:pPr>
        <w:keepNext/>
        <w:keepLines/>
        <w:spacing w:after="0" w:line="240" w:lineRule="auto"/>
        <w:ind w:left="720"/>
        <w:jc w:val="center"/>
        <w:rPr>
          <w:rFonts w:ascii="Arial" w:eastAsia="Times New Roman" w:hAnsi="Arial" w:cs="Arial"/>
          <w:b/>
          <w:sz w:val="20"/>
          <w:szCs w:val="20"/>
          <w:lang w:eastAsia="es-ES"/>
        </w:rPr>
      </w:pPr>
      <w:r w:rsidRPr="005E706D">
        <w:rPr>
          <w:rFonts w:ascii="Arial" w:eastAsia="Times New Roman" w:hAnsi="Arial" w:cs="Arial"/>
          <w:b/>
          <w:sz w:val="20"/>
          <w:szCs w:val="20"/>
          <w:lang w:eastAsia="es-ES"/>
        </w:rPr>
        <w:t>MODALIDAD DE ENSEÑANZA</w:t>
      </w:r>
    </w:p>
    <w:p w:rsidR="005E706D" w:rsidRPr="005E706D" w:rsidRDefault="005E706D" w:rsidP="005E706D">
      <w:pPr>
        <w:keepNext/>
        <w:keepLines/>
        <w:spacing w:after="0" w:line="240" w:lineRule="auto"/>
        <w:ind w:left="720"/>
        <w:jc w:val="both"/>
        <w:rPr>
          <w:rFonts w:ascii="Arial" w:eastAsia="Times New Roman" w:hAnsi="Arial" w:cs="Arial"/>
          <w:sz w:val="20"/>
          <w:szCs w:val="20"/>
          <w:lang w:eastAsia="es-ES"/>
        </w:rPr>
      </w:pPr>
    </w:p>
    <w:p w:rsidR="005E706D" w:rsidRPr="005E706D" w:rsidRDefault="005E706D" w:rsidP="005E706D">
      <w:pPr>
        <w:tabs>
          <w:tab w:val="left" w:pos="-1440"/>
          <w:tab w:val="left" w:pos="-720"/>
          <w:tab w:val="left" w:pos="0"/>
          <w:tab w:val="left" w:pos="360"/>
          <w:tab w:val="left" w:pos="1440"/>
        </w:tabs>
        <w:spacing w:after="0" w:line="240" w:lineRule="auto"/>
        <w:rPr>
          <w:rFonts w:ascii="Arial" w:eastAsia="Times New Roman" w:hAnsi="Arial" w:cs="Arial"/>
          <w:bCs/>
          <w:spacing w:val="-2"/>
          <w:sz w:val="20"/>
          <w:szCs w:val="20"/>
          <w:lang w:eastAsia="es-ES"/>
        </w:rPr>
      </w:pPr>
      <w:r w:rsidRPr="005E706D">
        <w:rPr>
          <w:rFonts w:ascii="Arial" w:eastAsia="Times New Roman" w:hAnsi="Arial" w:cs="Arial"/>
          <w:bCs/>
          <w:spacing w:val="-2"/>
          <w:sz w:val="20"/>
          <w:szCs w:val="20"/>
          <w:lang w:eastAsia="es-ES"/>
        </w:rPr>
        <w:t>El método didáctico consistirá en:</w:t>
      </w:r>
    </w:p>
    <w:p w:rsidR="005E706D" w:rsidRPr="005E706D" w:rsidRDefault="005E706D" w:rsidP="005E706D">
      <w:pPr>
        <w:tabs>
          <w:tab w:val="left" w:pos="-1440"/>
          <w:tab w:val="left" w:pos="-720"/>
          <w:tab w:val="left" w:pos="0"/>
          <w:tab w:val="left" w:pos="360"/>
          <w:tab w:val="left" w:pos="1440"/>
        </w:tabs>
        <w:spacing w:after="0" w:line="240" w:lineRule="auto"/>
        <w:ind w:left="360"/>
        <w:rPr>
          <w:rFonts w:ascii="Arial" w:eastAsia="Times New Roman" w:hAnsi="Arial" w:cs="Arial"/>
          <w:bCs/>
          <w:spacing w:val="-2"/>
          <w:sz w:val="20"/>
          <w:szCs w:val="20"/>
          <w:lang w:eastAsia="es-ES"/>
        </w:rPr>
      </w:pPr>
      <w:r w:rsidRPr="005E706D">
        <w:rPr>
          <w:rFonts w:ascii="Arial" w:eastAsia="Times New Roman" w:hAnsi="Arial" w:cs="Arial"/>
          <w:bCs/>
          <w:spacing w:val="-2"/>
          <w:sz w:val="20"/>
          <w:szCs w:val="20"/>
          <w:lang w:eastAsia="es-ES"/>
        </w:rPr>
        <w:t xml:space="preserve">• Clases expositivas, a cargo del docente. </w:t>
      </w:r>
    </w:p>
    <w:p w:rsidR="005E706D" w:rsidRPr="005E706D" w:rsidRDefault="005E706D" w:rsidP="005E706D">
      <w:pPr>
        <w:tabs>
          <w:tab w:val="left" w:pos="-1440"/>
          <w:tab w:val="left" w:pos="-720"/>
          <w:tab w:val="left" w:pos="0"/>
          <w:tab w:val="left" w:pos="360"/>
          <w:tab w:val="left" w:pos="1440"/>
        </w:tabs>
        <w:spacing w:after="0" w:line="240" w:lineRule="auto"/>
        <w:ind w:left="360"/>
        <w:rPr>
          <w:rFonts w:ascii="Arial" w:eastAsia="Times New Roman" w:hAnsi="Arial" w:cs="Arial"/>
          <w:bCs/>
          <w:spacing w:val="-2"/>
          <w:sz w:val="20"/>
          <w:szCs w:val="20"/>
          <w:lang w:eastAsia="es-ES"/>
        </w:rPr>
      </w:pPr>
      <w:r w:rsidRPr="005E706D">
        <w:rPr>
          <w:rFonts w:ascii="Arial" w:eastAsia="Times New Roman" w:hAnsi="Arial" w:cs="Arial"/>
          <w:bCs/>
          <w:spacing w:val="-2"/>
          <w:sz w:val="20"/>
          <w:szCs w:val="20"/>
          <w:lang w:eastAsia="es-ES"/>
        </w:rPr>
        <w:t xml:space="preserve">• Aplicación de los conceptos a la resolución de problemas relacionados con la práctica profesional. </w:t>
      </w:r>
    </w:p>
    <w:p w:rsidR="005E706D" w:rsidRPr="005E706D" w:rsidRDefault="005E706D" w:rsidP="005E706D">
      <w:pPr>
        <w:tabs>
          <w:tab w:val="left" w:pos="-1440"/>
          <w:tab w:val="left" w:pos="-720"/>
          <w:tab w:val="left" w:pos="0"/>
          <w:tab w:val="left" w:pos="360"/>
          <w:tab w:val="left" w:pos="1440"/>
        </w:tabs>
        <w:spacing w:after="0" w:line="240" w:lineRule="auto"/>
        <w:ind w:left="360"/>
        <w:rPr>
          <w:rFonts w:ascii="Arial" w:eastAsia="Times New Roman" w:hAnsi="Arial" w:cs="Arial"/>
          <w:bCs/>
          <w:spacing w:val="-2"/>
          <w:sz w:val="20"/>
          <w:szCs w:val="20"/>
          <w:lang w:eastAsia="es-ES"/>
        </w:rPr>
      </w:pPr>
      <w:r w:rsidRPr="005E706D">
        <w:rPr>
          <w:rFonts w:ascii="Arial" w:eastAsia="Times New Roman" w:hAnsi="Arial" w:cs="Arial"/>
          <w:bCs/>
          <w:spacing w:val="-2"/>
          <w:sz w:val="20"/>
          <w:szCs w:val="20"/>
          <w:lang w:eastAsia="es-ES"/>
        </w:rPr>
        <w:t>• Consultas individuales.</w:t>
      </w:r>
    </w:p>
    <w:p w:rsidR="005E706D" w:rsidRPr="005E706D" w:rsidRDefault="005E706D" w:rsidP="005E706D">
      <w:pPr>
        <w:tabs>
          <w:tab w:val="left" w:pos="-1440"/>
          <w:tab w:val="left" w:pos="-720"/>
          <w:tab w:val="left" w:pos="0"/>
          <w:tab w:val="left" w:pos="360"/>
          <w:tab w:val="left" w:pos="1440"/>
        </w:tabs>
        <w:spacing w:after="0" w:line="240" w:lineRule="auto"/>
        <w:ind w:left="360"/>
        <w:rPr>
          <w:rFonts w:ascii="Arial" w:eastAsia="Times New Roman" w:hAnsi="Arial" w:cs="Arial"/>
          <w:bCs/>
          <w:spacing w:val="-2"/>
          <w:sz w:val="20"/>
          <w:szCs w:val="20"/>
          <w:highlight w:val="yellow"/>
          <w:lang w:eastAsia="es-ES"/>
        </w:rPr>
      </w:pPr>
    </w:p>
    <w:p w:rsidR="005E706D" w:rsidRPr="005E706D" w:rsidRDefault="005E706D" w:rsidP="005E706D">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0"/>
          <w:highlight w:val="yellow"/>
          <w:lang w:eastAsia="es-ES"/>
        </w:rPr>
      </w:pPr>
    </w:p>
    <w:p w:rsidR="005E706D" w:rsidRPr="005E706D" w:rsidRDefault="005E706D" w:rsidP="005E706D">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0"/>
          <w:lang w:eastAsia="es-ES"/>
        </w:rPr>
      </w:pPr>
      <w:r w:rsidRPr="005E706D">
        <w:rPr>
          <w:rFonts w:ascii="Arial" w:eastAsia="Times New Roman" w:hAnsi="Arial" w:cs="Arial"/>
          <w:b/>
          <w:bCs/>
          <w:spacing w:val="-2"/>
          <w:sz w:val="20"/>
          <w:szCs w:val="20"/>
          <w:lang w:eastAsia="es-ES"/>
        </w:rPr>
        <w:t>MODALIDAD DE ASISTENCIA Y EVALUACION DE LA ASIGNATURA.</w:t>
      </w:r>
    </w:p>
    <w:p w:rsidR="005E706D" w:rsidRPr="005E706D" w:rsidRDefault="005E706D" w:rsidP="005E706D">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0"/>
          <w:lang w:eastAsia="es-ES"/>
        </w:rPr>
      </w:pPr>
    </w:p>
    <w:p w:rsidR="005E706D" w:rsidRPr="005E706D" w:rsidRDefault="005E706D" w:rsidP="005E706D">
      <w:pPr>
        <w:tabs>
          <w:tab w:val="left" w:pos="426"/>
        </w:tabs>
        <w:spacing w:after="0" w:line="240" w:lineRule="auto"/>
        <w:jc w:val="both"/>
        <w:rPr>
          <w:rFonts w:ascii="Arial" w:eastAsia="Times New Roman" w:hAnsi="Arial" w:cs="Arial"/>
          <w:snapToGrid w:val="0"/>
          <w:sz w:val="20"/>
          <w:szCs w:val="20"/>
          <w:lang w:eastAsia="es-ES"/>
        </w:rPr>
      </w:pPr>
      <w:r w:rsidRPr="005E706D">
        <w:rPr>
          <w:rFonts w:ascii="Arial" w:eastAsia="Times New Roman" w:hAnsi="Arial" w:cs="Arial"/>
          <w:snapToGrid w:val="0"/>
          <w:sz w:val="20"/>
          <w:szCs w:val="20"/>
          <w:lang w:eastAsia="es-ES"/>
        </w:rPr>
        <w:t>La evaluación estará constituida por un promedio de las notas asignadas a dos exámenes parciales teórico – prácticos y los trabajos prácticos individuales.</w:t>
      </w:r>
    </w:p>
    <w:p w:rsidR="005E706D" w:rsidRPr="005E706D" w:rsidRDefault="005E706D" w:rsidP="005E706D">
      <w:pPr>
        <w:tabs>
          <w:tab w:val="left" w:pos="426"/>
        </w:tabs>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Las notas de los trabajos prácticos individuales tendrán en cuenta el desarrollo teórico aplicado, la resolución y la puntualidad en la entrega.</w:t>
      </w:r>
    </w:p>
    <w:p w:rsidR="005E706D" w:rsidRPr="005E706D" w:rsidRDefault="005E706D" w:rsidP="005E706D">
      <w:pPr>
        <w:tabs>
          <w:tab w:val="left" w:pos="426"/>
        </w:tabs>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La evaluación de los parciales tendrá en cuenta: el desarrollo teórico aplicado, el uso de herramientas disponibles y los resultados alcanzados.</w:t>
      </w:r>
    </w:p>
    <w:p w:rsidR="005E706D" w:rsidRPr="005E706D" w:rsidRDefault="005E706D" w:rsidP="005E706D">
      <w:pPr>
        <w:tabs>
          <w:tab w:val="left" w:pos="426"/>
        </w:tabs>
        <w:spacing w:after="0" w:line="240" w:lineRule="auto"/>
        <w:jc w:val="both"/>
        <w:rPr>
          <w:rFonts w:ascii="Arial" w:eastAsia="Times New Roman" w:hAnsi="Arial" w:cs="Arial"/>
          <w:sz w:val="20"/>
          <w:szCs w:val="20"/>
          <w:highlight w:val="yellow"/>
          <w:lang w:eastAsia="es-ES"/>
        </w:rPr>
      </w:pPr>
    </w:p>
    <w:p w:rsidR="005E706D" w:rsidRPr="005E706D" w:rsidRDefault="005E706D" w:rsidP="005E706D">
      <w:pPr>
        <w:tabs>
          <w:tab w:val="left" w:pos="426"/>
        </w:tabs>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Se establecen como condición de aprobación:</w:t>
      </w:r>
    </w:p>
    <w:p w:rsidR="005E706D" w:rsidRPr="005E706D" w:rsidRDefault="005E706D" w:rsidP="005E706D">
      <w:pPr>
        <w:widowControl w:val="0"/>
        <w:numPr>
          <w:ilvl w:val="0"/>
          <w:numId w:val="1"/>
        </w:numPr>
        <w:tabs>
          <w:tab w:val="left" w:pos="426"/>
        </w:tabs>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Asistencia al 80% de las clases.</w:t>
      </w:r>
    </w:p>
    <w:p w:rsidR="005E706D" w:rsidRPr="005E706D" w:rsidRDefault="005E706D" w:rsidP="005E706D">
      <w:pPr>
        <w:widowControl w:val="0"/>
        <w:numPr>
          <w:ilvl w:val="0"/>
          <w:numId w:val="1"/>
        </w:numPr>
        <w:tabs>
          <w:tab w:val="left" w:pos="426"/>
        </w:tabs>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Todos los trabajos prácticos aprobados</w:t>
      </w:r>
    </w:p>
    <w:p w:rsidR="005E706D" w:rsidRPr="005E706D" w:rsidRDefault="005E706D" w:rsidP="005E706D">
      <w:pPr>
        <w:widowControl w:val="0"/>
        <w:numPr>
          <w:ilvl w:val="0"/>
          <w:numId w:val="1"/>
        </w:numPr>
        <w:tabs>
          <w:tab w:val="left" w:pos="426"/>
        </w:tabs>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Aprobar los exámenes teórico - prácticos</w:t>
      </w:r>
    </w:p>
    <w:p w:rsidR="005E706D" w:rsidRPr="005E706D" w:rsidRDefault="005E706D" w:rsidP="005E706D">
      <w:pPr>
        <w:tabs>
          <w:tab w:val="left" w:pos="426"/>
        </w:tabs>
        <w:spacing w:after="0" w:line="240" w:lineRule="auto"/>
        <w:jc w:val="both"/>
        <w:rPr>
          <w:rFonts w:ascii="Arial" w:eastAsia="Times New Roman" w:hAnsi="Arial" w:cs="Arial"/>
          <w:sz w:val="20"/>
          <w:szCs w:val="20"/>
          <w:lang w:eastAsia="es-ES"/>
        </w:rPr>
      </w:pPr>
    </w:p>
    <w:p w:rsidR="005E706D" w:rsidRPr="005E706D" w:rsidRDefault="005E706D" w:rsidP="005E706D">
      <w:pPr>
        <w:tabs>
          <w:tab w:val="left" w:pos="426"/>
        </w:tabs>
        <w:spacing w:after="0" w:line="240" w:lineRule="auto"/>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Ponderación de la nota final: </w:t>
      </w:r>
    </w:p>
    <w:p w:rsidR="005E706D" w:rsidRPr="005E706D" w:rsidRDefault="005E706D" w:rsidP="005E706D">
      <w:pPr>
        <w:tabs>
          <w:tab w:val="left" w:pos="426"/>
        </w:tabs>
        <w:spacing w:after="0" w:line="240" w:lineRule="auto"/>
        <w:ind w:left="426"/>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40% Actividades prácticas.</w:t>
      </w:r>
    </w:p>
    <w:p w:rsidR="005E706D" w:rsidRPr="005E706D" w:rsidRDefault="005E706D" w:rsidP="005E706D">
      <w:pPr>
        <w:tabs>
          <w:tab w:val="left" w:pos="426"/>
        </w:tabs>
        <w:spacing w:after="0" w:line="240" w:lineRule="auto"/>
        <w:ind w:left="426"/>
        <w:jc w:val="both"/>
        <w:rPr>
          <w:rFonts w:ascii="Arial" w:eastAsia="Times New Roman" w:hAnsi="Arial" w:cs="Arial"/>
          <w:sz w:val="20"/>
          <w:szCs w:val="20"/>
          <w:lang w:eastAsia="es-ES"/>
        </w:rPr>
      </w:pPr>
      <w:r w:rsidRPr="005E706D">
        <w:rPr>
          <w:rFonts w:ascii="Arial" w:eastAsia="Times New Roman" w:hAnsi="Arial" w:cs="Arial"/>
          <w:sz w:val="20"/>
          <w:szCs w:val="20"/>
          <w:lang w:eastAsia="es-ES"/>
        </w:rPr>
        <w:t>60% Promedio Exámenes Teórico – Práctico.</w:t>
      </w:r>
    </w:p>
    <w:p w:rsidR="005E706D" w:rsidRPr="005E706D" w:rsidRDefault="005E706D" w:rsidP="005E706D">
      <w:pPr>
        <w:tabs>
          <w:tab w:val="center" w:pos="4513"/>
        </w:tabs>
        <w:spacing w:after="0" w:line="240" w:lineRule="auto"/>
        <w:rPr>
          <w:rFonts w:ascii="Arial" w:eastAsia="Times New Roman" w:hAnsi="Arial" w:cs="Arial"/>
          <w:spacing w:val="-3"/>
          <w:sz w:val="20"/>
          <w:szCs w:val="20"/>
          <w:lang w:eastAsia="es-ES"/>
        </w:rPr>
      </w:pPr>
      <w:r w:rsidRPr="005E706D">
        <w:rPr>
          <w:rFonts w:ascii="Arial" w:eastAsia="Times New Roman" w:hAnsi="Arial" w:cs="Arial"/>
          <w:bCs/>
          <w:spacing w:val="-2"/>
          <w:sz w:val="20"/>
          <w:szCs w:val="20"/>
          <w:lang w:eastAsia="es-ES"/>
        </w:rPr>
        <w:t>Calificación final para aprobación: igual o mayor a 7 (siete).</w:t>
      </w:r>
    </w:p>
    <w:p w:rsidR="005E706D" w:rsidRPr="005E706D" w:rsidRDefault="005E706D" w:rsidP="005E706D">
      <w:pPr>
        <w:tabs>
          <w:tab w:val="center" w:pos="4513"/>
        </w:tabs>
        <w:spacing w:after="0" w:line="240" w:lineRule="auto"/>
        <w:rPr>
          <w:rFonts w:ascii="Arial" w:eastAsia="Times New Roman" w:hAnsi="Arial" w:cs="Arial"/>
          <w:spacing w:val="-3"/>
          <w:sz w:val="20"/>
          <w:szCs w:val="20"/>
          <w:lang w:eastAsia="es-ES"/>
        </w:rPr>
      </w:pPr>
    </w:p>
    <w:p w:rsidR="005E706D" w:rsidRPr="005E706D" w:rsidRDefault="005E706D" w:rsidP="005E706D">
      <w:pPr>
        <w:spacing w:after="0" w:line="240" w:lineRule="auto"/>
        <w:jc w:val="both"/>
        <w:rPr>
          <w:rFonts w:ascii="Arial" w:eastAsia="Times New Roman" w:hAnsi="Arial" w:cs="Arial"/>
          <w:sz w:val="20"/>
          <w:szCs w:val="20"/>
          <w:lang w:val="es-AR" w:eastAsia="es-ES"/>
        </w:rPr>
      </w:pPr>
    </w:p>
    <w:p w:rsidR="005E706D" w:rsidRPr="005E706D" w:rsidRDefault="005E706D" w:rsidP="005E706D">
      <w:pPr>
        <w:keepNext/>
        <w:keepLines/>
        <w:spacing w:after="0" w:line="240" w:lineRule="auto"/>
        <w:jc w:val="center"/>
        <w:rPr>
          <w:rFonts w:ascii="Arial" w:eastAsia="Times New Roman" w:hAnsi="Arial" w:cs="Arial"/>
          <w:b/>
          <w:caps/>
          <w:sz w:val="20"/>
          <w:szCs w:val="20"/>
          <w:lang w:val="es-AR" w:eastAsia="es-ES"/>
        </w:rPr>
      </w:pPr>
      <w:r w:rsidRPr="005E706D">
        <w:rPr>
          <w:rFonts w:ascii="Arial" w:eastAsia="Times New Roman" w:hAnsi="Arial" w:cs="Arial"/>
          <w:b/>
          <w:caps/>
          <w:sz w:val="20"/>
          <w:szCs w:val="20"/>
          <w:lang w:val="es-AR" w:eastAsia="es-ES"/>
        </w:rPr>
        <w:t>Bibliografía</w:t>
      </w:r>
    </w:p>
    <w:p w:rsidR="005E706D" w:rsidRPr="005E706D" w:rsidRDefault="005E706D" w:rsidP="005E706D">
      <w:pPr>
        <w:keepNext/>
        <w:keepLines/>
        <w:spacing w:after="0" w:line="240" w:lineRule="auto"/>
        <w:jc w:val="center"/>
        <w:rPr>
          <w:rFonts w:ascii="Arial" w:eastAsia="Times New Roman" w:hAnsi="Arial" w:cs="Arial"/>
          <w:b/>
          <w:caps/>
          <w:sz w:val="20"/>
          <w:szCs w:val="20"/>
          <w:lang w:val="es-AR" w:eastAsia="es-ES"/>
        </w:rPr>
      </w:pP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 Cuesta Diego, Luis. y Vallarino. (2000) “Aprovechamientos Hidroeléctricos. Tomo I”. Colegio de Ingenieros de Caminos, Canales y Puertos. España. </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eastAsia="es-ES"/>
        </w:rPr>
      </w:pPr>
      <w:r w:rsidRPr="005E706D">
        <w:rPr>
          <w:rFonts w:ascii="Arial" w:eastAsia="Times New Roman" w:hAnsi="Arial" w:cs="Arial"/>
          <w:sz w:val="20"/>
          <w:szCs w:val="20"/>
          <w:lang w:eastAsia="es-ES"/>
        </w:rPr>
        <w:t xml:space="preserve">- Cuesta Diego, Luis. y Vallarino. (2000) “Aprovechamientos Hidroeléctricos. Tomo II”. Colegio de Ingenieros de Caminos, Canales y Puertos. España. </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US" w:eastAsia="es-ES"/>
        </w:rPr>
      </w:pPr>
      <w:r w:rsidRPr="005E706D">
        <w:rPr>
          <w:rFonts w:ascii="Arial" w:eastAsia="Times New Roman" w:hAnsi="Arial" w:cs="Arial"/>
          <w:sz w:val="20"/>
          <w:szCs w:val="20"/>
          <w:lang w:eastAsia="es-ES"/>
        </w:rPr>
        <w:t xml:space="preserve">- </w:t>
      </w:r>
      <w:proofErr w:type="spellStart"/>
      <w:r w:rsidRPr="005E706D">
        <w:rPr>
          <w:rFonts w:ascii="Arial" w:eastAsia="Times New Roman" w:hAnsi="Arial" w:cs="Arial"/>
          <w:sz w:val="20"/>
          <w:szCs w:val="20"/>
          <w:lang w:eastAsia="es-ES"/>
        </w:rPr>
        <w:t>Marsal</w:t>
      </w:r>
      <w:proofErr w:type="spellEnd"/>
      <w:r w:rsidRPr="005E706D">
        <w:rPr>
          <w:rFonts w:ascii="Arial" w:eastAsia="Times New Roman" w:hAnsi="Arial" w:cs="Arial"/>
          <w:sz w:val="20"/>
          <w:szCs w:val="20"/>
          <w:lang w:eastAsia="es-ES"/>
        </w:rPr>
        <w:t xml:space="preserve">, Raúl.; </w:t>
      </w:r>
      <w:proofErr w:type="spellStart"/>
      <w:r w:rsidRPr="005E706D">
        <w:rPr>
          <w:rFonts w:ascii="Arial" w:eastAsia="Times New Roman" w:hAnsi="Arial" w:cs="Arial"/>
          <w:sz w:val="20"/>
          <w:szCs w:val="20"/>
          <w:lang w:eastAsia="es-ES"/>
        </w:rPr>
        <w:t>Resendiz</w:t>
      </w:r>
      <w:proofErr w:type="spellEnd"/>
      <w:r w:rsidRPr="005E706D">
        <w:rPr>
          <w:rFonts w:ascii="Arial" w:eastAsia="Times New Roman" w:hAnsi="Arial" w:cs="Arial"/>
          <w:sz w:val="20"/>
          <w:szCs w:val="20"/>
          <w:lang w:eastAsia="es-ES"/>
        </w:rPr>
        <w:t xml:space="preserve"> Núñez, Daniel (1975) “Presas de tierra y </w:t>
      </w:r>
      <w:proofErr w:type="spellStart"/>
      <w:r w:rsidRPr="005E706D">
        <w:rPr>
          <w:rFonts w:ascii="Arial" w:eastAsia="Times New Roman" w:hAnsi="Arial" w:cs="Arial"/>
          <w:sz w:val="20"/>
          <w:szCs w:val="20"/>
          <w:lang w:eastAsia="es-ES"/>
        </w:rPr>
        <w:t>enrocamiento</w:t>
      </w:r>
      <w:proofErr w:type="spellEnd"/>
      <w:r w:rsidRPr="005E706D">
        <w:rPr>
          <w:rFonts w:ascii="Arial" w:eastAsia="Times New Roman" w:hAnsi="Arial" w:cs="Arial"/>
          <w:sz w:val="20"/>
          <w:szCs w:val="20"/>
          <w:lang w:eastAsia="es-ES"/>
        </w:rPr>
        <w:t xml:space="preserve">” Editorial Limusa. </w:t>
      </w:r>
      <w:r w:rsidRPr="005E706D">
        <w:rPr>
          <w:rFonts w:ascii="Arial" w:eastAsia="Times New Roman" w:hAnsi="Arial" w:cs="Arial"/>
          <w:sz w:val="20"/>
          <w:szCs w:val="20"/>
          <w:lang w:val="en-US" w:eastAsia="es-ES"/>
        </w:rPr>
        <w:t xml:space="preserve">México. </w:t>
      </w:r>
    </w:p>
    <w:p w:rsidR="005E706D" w:rsidRPr="005E706D" w:rsidRDefault="005E706D" w:rsidP="005E706D">
      <w:pPr>
        <w:spacing w:after="0" w:line="240" w:lineRule="auto"/>
        <w:rPr>
          <w:rFonts w:ascii="Arial" w:eastAsia="Times New Roman" w:hAnsi="Arial" w:cs="Arial"/>
          <w:sz w:val="20"/>
          <w:szCs w:val="20"/>
          <w:lang w:val="en-US" w:eastAsia="es-ES"/>
        </w:rPr>
      </w:pPr>
      <w:r w:rsidRPr="005E706D">
        <w:rPr>
          <w:rFonts w:ascii="Arial" w:eastAsia="Times New Roman" w:hAnsi="Arial" w:cs="Arial"/>
          <w:sz w:val="20"/>
          <w:szCs w:val="20"/>
          <w:lang w:val="en-US" w:eastAsia="es-ES"/>
        </w:rPr>
        <w:t xml:space="preserve">- US Bureau of Reclamation (1976) “Design of Gravity Dams”. U.S.A. </w:t>
      </w:r>
    </w:p>
    <w:p w:rsidR="005E706D" w:rsidRPr="005E706D" w:rsidRDefault="005E706D" w:rsidP="005E706D">
      <w:pPr>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US" w:eastAsia="es-ES"/>
        </w:rPr>
        <w:t xml:space="preserve">- US Bureau of Reclamation (1977) “Design of Arch Dams”. </w:t>
      </w:r>
      <w:r w:rsidRPr="005E706D">
        <w:rPr>
          <w:rFonts w:ascii="Arial" w:eastAsia="Times New Roman" w:hAnsi="Arial" w:cs="Arial"/>
          <w:sz w:val="20"/>
          <w:szCs w:val="20"/>
          <w:lang w:val="en-GB" w:eastAsia="es-ES"/>
        </w:rPr>
        <w:t xml:space="preserve">U.S.A. </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 Baran, Eric and Blake Ratner. "The Don </w:t>
      </w:r>
      <w:proofErr w:type="spellStart"/>
      <w:r w:rsidRPr="005E706D">
        <w:rPr>
          <w:rFonts w:ascii="Arial" w:eastAsia="Times New Roman" w:hAnsi="Arial" w:cs="Arial"/>
          <w:sz w:val="20"/>
          <w:szCs w:val="20"/>
          <w:lang w:val="en-GB" w:eastAsia="es-ES"/>
        </w:rPr>
        <w:t>Sahong</w:t>
      </w:r>
      <w:proofErr w:type="spellEnd"/>
      <w:r w:rsidRPr="005E706D">
        <w:rPr>
          <w:rFonts w:ascii="Arial" w:eastAsia="Times New Roman" w:hAnsi="Arial" w:cs="Arial"/>
          <w:sz w:val="20"/>
          <w:szCs w:val="20"/>
          <w:lang w:val="en-GB" w:eastAsia="es-ES"/>
        </w:rPr>
        <w:t xml:space="preserve"> Dam and Mekong Fisheries." </w:t>
      </w:r>
      <w:r w:rsidRPr="005E706D">
        <w:rPr>
          <w:rFonts w:ascii="Arial" w:eastAsia="Times New Roman" w:hAnsi="Arial" w:cs="Arial"/>
          <w:i/>
          <w:iCs/>
          <w:sz w:val="20"/>
          <w:szCs w:val="20"/>
          <w:lang w:val="en-GB" w:eastAsia="es-ES"/>
        </w:rPr>
        <w:t xml:space="preserve">World Fish </w:t>
      </w:r>
      <w:proofErr w:type="spellStart"/>
      <w:r w:rsidRPr="005E706D">
        <w:rPr>
          <w:rFonts w:ascii="Arial" w:eastAsia="Times New Roman" w:hAnsi="Arial" w:cs="Arial"/>
          <w:i/>
          <w:iCs/>
          <w:sz w:val="20"/>
          <w:szCs w:val="20"/>
          <w:lang w:val="en-GB" w:eastAsia="es-ES"/>
        </w:rPr>
        <w:t>Center</w:t>
      </w:r>
      <w:proofErr w:type="spellEnd"/>
      <w:r w:rsidRPr="005E706D">
        <w:rPr>
          <w:rFonts w:ascii="Arial" w:eastAsia="Times New Roman" w:hAnsi="Arial" w:cs="Arial"/>
          <w:sz w:val="20"/>
          <w:szCs w:val="20"/>
          <w:lang w:val="en-GB" w:eastAsia="es-ES"/>
        </w:rPr>
        <w:t>. June 2007. accessed through www.internationalrivers.org. Web. 03 April 2010.</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 Barrionuevo, Alexei. “Amazon Dam Project Pits Economic Benefit Against Protection of Indigenous Lands.” </w:t>
      </w:r>
      <w:r w:rsidRPr="005E706D">
        <w:rPr>
          <w:rFonts w:ascii="Arial" w:eastAsia="Times New Roman" w:hAnsi="Arial" w:cs="Arial"/>
          <w:i/>
          <w:iCs/>
          <w:sz w:val="20"/>
          <w:szCs w:val="20"/>
          <w:lang w:val="en-GB" w:eastAsia="es-ES"/>
        </w:rPr>
        <w:t>Breaking News, World News &amp; Multimedia</w:t>
      </w:r>
      <w:r w:rsidRPr="005E706D">
        <w:rPr>
          <w:rFonts w:ascii="Arial" w:eastAsia="Times New Roman" w:hAnsi="Arial" w:cs="Arial"/>
          <w:sz w:val="20"/>
          <w:szCs w:val="20"/>
          <w:lang w:val="en-GB" w:eastAsia="es-ES"/>
        </w:rPr>
        <w:t>. The New York Times, 16 Apr. 2010. Web. 19 Apr. 2010. &lt;http://www.nytimes.com/2010/04/17/world/americas/17brazil.html?hpw&gt;.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 </w:t>
      </w:r>
      <w:proofErr w:type="spellStart"/>
      <w:r w:rsidRPr="005E706D">
        <w:rPr>
          <w:rFonts w:ascii="Arial" w:eastAsia="Times New Roman" w:hAnsi="Arial" w:cs="Arial"/>
          <w:sz w:val="20"/>
          <w:szCs w:val="20"/>
          <w:lang w:val="en-GB" w:eastAsia="es-ES"/>
        </w:rPr>
        <w:t>Blaszkowski</w:t>
      </w:r>
      <w:proofErr w:type="spellEnd"/>
      <w:r w:rsidRPr="005E706D">
        <w:rPr>
          <w:rFonts w:ascii="Arial" w:eastAsia="Times New Roman" w:hAnsi="Arial" w:cs="Arial"/>
          <w:sz w:val="20"/>
          <w:szCs w:val="20"/>
          <w:lang w:val="en-GB" w:eastAsia="es-ES"/>
        </w:rPr>
        <w:t xml:space="preserve">, M., P. Cullen, D. Doherty, P. </w:t>
      </w:r>
      <w:proofErr w:type="spellStart"/>
      <w:r w:rsidRPr="005E706D">
        <w:rPr>
          <w:rFonts w:ascii="Arial" w:eastAsia="Times New Roman" w:hAnsi="Arial" w:cs="Arial"/>
          <w:sz w:val="20"/>
          <w:szCs w:val="20"/>
          <w:lang w:val="en-GB" w:eastAsia="es-ES"/>
        </w:rPr>
        <w:t>Frankiewicz</w:t>
      </w:r>
      <w:proofErr w:type="spellEnd"/>
      <w:r w:rsidRPr="005E706D">
        <w:rPr>
          <w:rFonts w:ascii="Arial" w:eastAsia="Times New Roman" w:hAnsi="Arial" w:cs="Arial"/>
          <w:sz w:val="20"/>
          <w:szCs w:val="20"/>
          <w:lang w:val="en-GB" w:eastAsia="es-ES"/>
        </w:rPr>
        <w:t xml:space="preserve">, T.K. McCarthy, and W. O'Connor. "Long-term effects of hydropower installations and associated river regulation on the River Shannon eel populations: mitigation and management." </w:t>
      </w:r>
      <w:proofErr w:type="spellStart"/>
      <w:r w:rsidRPr="005E706D">
        <w:rPr>
          <w:rFonts w:ascii="Arial" w:eastAsia="Times New Roman" w:hAnsi="Arial" w:cs="Arial"/>
          <w:i/>
          <w:iCs/>
          <w:sz w:val="20"/>
          <w:szCs w:val="20"/>
          <w:lang w:val="en-GB" w:eastAsia="es-ES"/>
        </w:rPr>
        <w:t>Hydrobiologia</w:t>
      </w:r>
      <w:proofErr w:type="spellEnd"/>
      <w:r w:rsidRPr="005E706D">
        <w:rPr>
          <w:rFonts w:ascii="Arial" w:eastAsia="Times New Roman" w:hAnsi="Arial" w:cs="Arial"/>
          <w:sz w:val="20"/>
          <w:szCs w:val="20"/>
          <w:lang w:val="en-GB" w:eastAsia="es-ES"/>
        </w:rPr>
        <w:t>. Vol. 609:1. Sept 2008.</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"Dams and Migratory Fishes." Dams and Migratory Fishes. International Rivers. Web. 3 April 2010. &lt; http://www.internationalrivers.org/en/node/1639&gt;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lastRenderedPageBreak/>
        <w:t xml:space="preserve">- Dixit, </w:t>
      </w:r>
      <w:proofErr w:type="spellStart"/>
      <w:r w:rsidRPr="005E706D">
        <w:rPr>
          <w:rFonts w:ascii="Arial" w:eastAsia="Times New Roman" w:hAnsi="Arial" w:cs="Arial"/>
          <w:sz w:val="20"/>
          <w:szCs w:val="20"/>
          <w:lang w:val="en-GB" w:eastAsia="es-ES"/>
        </w:rPr>
        <w:t>Ajaya</w:t>
      </w:r>
      <w:proofErr w:type="spellEnd"/>
      <w:r w:rsidRPr="005E706D">
        <w:rPr>
          <w:rFonts w:ascii="Arial" w:eastAsia="Times New Roman" w:hAnsi="Arial" w:cs="Arial"/>
          <w:sz w:val="20"/>
          <w:szCs w:val="20"/>
          <w:lang w:val="en-GB" w:eastAsia="es-ES"/>
        </w:rPr>
        <w:t xml:space="preserve">, Pradeep Adhikari, and Shiva </w:t>
      </w:r>
      <w:proofErr w:type="spellStart"/>
      <w:r w:rsidRPr="005E706D">
        <w:rPr>
          <w:rFonts w:ascii="Arial" w:eastAsia="Times New Roman" w:hAnsi="Arial" w:cs="Arial"/>
          <w:sz w:val="20"/>
          <w:szCs w:val="20"/>
          <w:lang w:val="en-GB" w:eastAsia="es-ES"/>
        </w:rPr>
        <w:t>Bisangkhe</w:t>
      </w:r>
      <w:proofErr w:type="spellEnd"/>
      <w:r w:rsidRPr="005E706D">
        <w:rPr>
          <w:rFonts w:ascii="Arial" w:eastAsia="Times New Roman" w:hAnsi="Arial" w:cs="Arial"/>
          <w:sz w:val="20"/>
          <w:szCs w:val="20"/>
          <w:lang w:val="en-GB" w:eastAsia="es-ES"/>
        </w:rPr>
        <w:t xml:space="preserve">. </w:t>
      </w:r>
      <w:r w:rsidRPr="005E706D">
        <w:rPr>
          <w:rFonts w:ascii="Arial" w:eastAsia="Times New Roman" w:hAnsi="Arial" w:cs="Arial"/>
          <w:i/>
          <w:iCs/>
          <w:sz w:val="20"/>
          <w:szCs w:val="20"/>
          <w:lang w:val="en-GB" w:eastAsia="es-ES"/>
        </w:rPr>
        <w:t>Constructive Dialogue on Dams and Development in Nepal</w:t>
      </w:r>
      <w:r w:rsidRPr="005E706D">
        <w:rPr>
          <w:rFonts w:ascii="Arial" w:eastAsia="Times New Roman" w:hAnsi="Arial" w:cs="Arial"/>
          <w:sz w:val="20"/>
          <w:szCs w:val="20"/>
          <w:lang w:val="en-GB" w:eastAsia="es-ES"/>
        </w:rPr>
        <w:t>. Kathmandu: Published for National Steering Committee on Dams and Development by IUCN-the World Conservation Union Nepal, 2004. Print.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 Kennedy, Bruce. “CNN In-Depth Specials – Visions of China – Asian Superpower: China’s Three Gorges Dam.” </w:t>
      </w:r>
      <w:r w:rsidRPr="005E706D">
        <w:rPr>
          <w:rFonts w:ascii="Arial" w:eastAsia="Times New Roman" w:hAnsi="Arial" w:cs="Arial"/>
          <w:i/>
          <w:iCs/>
          <w:sz w:val="20"/>
          <w:szCs w:val="20"/>
          <w:lang w:val="en-GB" w:eastAsia="es-ES"/>
        </w:rPr>
        <w:t>CNN.com – Breaking News, U.S., World, Weather, Entertainment &amp; Video News</w:t>
      </w:r>
      <w:r w:rsidRPr="005E706D">
        <w:rPr>
          <w:rFonts w:ascii="Arial" w:eastAsia="Times New Roman" w:hAnsi="Arial" w:cs="Arial"/>
          <w:sz w:val="20"/>
          <w:szCs w:val="20"/>
          <w:lang w:val="en-GB" w:eastAsia="es-ES"/>
        </w:rPr>
        <w:t>. Web. 18 Apr. 2010. &lt;http://www.cnn.com/SPECIALS/1999/china.50/asian.superpower/three.gorges/&gt;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 PCA. “Green in Practice 102 – Concrete, Cement, and CO2.” </w:t>
      </w:r>
      <w:r w:rsidRPr="005E706D">
        <w:rPr>
          <w:rFonts w:ascii="Arial" w:eastAsia="Times New Roman" w:hAnsi="Arial" w:cs="Arial"/>
          <w:i/>
          <w:iCs/>
          <w:sz w:val="20"/>
          <w:szCs w:val="20"/>
          <w:lang w:val="en-GB" w:eastAsia="es-ES"/>
        </w:rPr>
        <w:t>Technical Brief</w:t>
      </w:r>
      <w:r w:rsidRPr="005E706D">
        <w:rPr>
          <w:rFonts w:ascii="Arial" w:eastAsia="Times New Roman" w:hAnsi="Arial" w:cs="Arial"/>
          <w:sz w:val="20"/>
          <w:szCs w:val="20"/>
          <w:lang w:val="en-GB" w:eastAsia="es-ES"/>
        </w:rPr>
        <w:t>. Concrete Thinking for a Sustainable World &amp; Portland Cement Association, 2010. Web. 19 Apr. 2010. &lt;http://www.concretethinker.com/technicalbrief/Concrete-Cement-CO2.aspx&gt;.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Parkyn, Neil. </w:t>
      </w:r>
      <w:proofErr w:type="spellStart"/>
      <w:r w:rsidRPr="005E706D">
        <w:rPr>
          <w:rFonts w:ascii="Arial" w:eastAsia="Times New Roman" w:hAnsi="Arial" w:cs="Arial"/>
          <w:sz w:val="20"/>
          <w:szCs w:val="20"/>
          <w:lang w:val="en-GB" w:eastAsia="es-ES"/>
        </w:rPr>
        <w:t>SuperStructures</w:t>
      </w:r>
      <w:proofErr w:type="spellEnd"/>
      <w:r w:rsidRPr="005E706D">
        <w:rPr>
          <w:rFonts w:ascii="Arial" w:eastAsia="Times New Roman" w:hAnsi="Arial" w:cs="Arial"/>
          <w:sz w:val="20"/>
          <w:szCs w:val="20"/>
          <w:lang w:val="en-GB" w:eastAsia="es-ES"/>
        </w:rPr>
        <w:t xml:space="preserve">: </w:t>
      </w:r>
      <w:proofErr w:type="gramStart"/>
      <w:r w:rsidRPr="005E706D">
        <w:rPr>
          <w:rFonts w:ascii="Arial" w:eastAsia="Times New Roman" w:hAnsi="Arial" w:cs="Arial"/>
          <w:sz w:val="20"/>
          <w:szCs w:val="20"/>
          <w:lang w:val="en-GB" w:eastAsia="es-ES"/>
        </w:rPr>
        <w:t>the</w:t>
      </w:r>
      <w:proofErr w:type="gramEnd"/>
      <w:r w:rsidRPr="005E706D">
        <w:rPr>
          <w:rFonts w:ascii="Arial" w:eastAsia="Times New Roman" w:hAnsi="Arial" w:cs="Arial"/>
          <w:sz w:val="20"/>
          <w:szCs w:val="20"/>
          <w:lang w:val="en-GB" w:eastAsia="es-ES"/>
        </w:rPr>
        <w:t xml:space="preserve"> World’s Greatest Modern Structures. London: Merrell, 2004. Print.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Probe International. “€˜Reservoir-Triggered/Induced Seismicity'.” </w:t>
      </w:r>
      <w:r w:rsidRPr="005E706D">
        <w:rPr>
          <w:rFonts w:ascii="Arial" w:eastAsia="Times New Roman" w:hAnsi="Arial" w:cs="Arial"/>
          <w:i/>
          <w:iCs/>
          <w:sz w:val="20"/>
          <w:szCs w:val="20"/>
          <w:lang w:val="en-GB" w:eastAsia="es-ES"/>
        </w:rPr>
        <w:t>Earthquakes Caused by Dams</w:t>
      </w:r>
      <w:r w:rsidRPr="005E706D">
        <w:rPr>
          <w:rFonts w:ascii="Arial" w:eastAsia="Times New Roman" w:hAnsi="Arial" w:cs="Arial"/>
          <w:sz w:val="20"/>
          <w:szCs w:val="20"/>
          <w:lang w:val="en-GB" w:eastAsia="es-ES"/>
        </w:rPr>
        <w:t>. Probe International, May 2008. Web. 18 Apr. 2010. &lt;http://www.probeinternational.org/files/dam%20triggeredearthquakes.pdf&gt;.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proofErr w:type="gramStart"/>
      <w:r w:rsidRPr="005E706D">
        <w:rPr>
          <w:rFonts w:ascii="Arial" w:eastAsia="Times New Roman" w:hAnsi="Arial" w:cs="Arial"/>
          <w:sz w:val="20"/>
          <w:szCs w:val="20"/>
          <w:lang w:val="en-GB" w:eastAsia="es-ES"/>
        </w:rPr>
        <w:t>-  “</w:t>
      </w:r>
      <w:proofErr w:type="gramEnd"/>
      <w:r w:rsidRPr="005E706D">
        <w:rPr>
          <w:rFonts w:ascii="Arial" w:eastAsia="Times New Roman" w:hAnsi="Arial" w:cs="Arial"/>
          <w:sz w:val="20"/>
          <w:szCs w:val="20"/>
          <w:lang w:val="en-GB" w:eastAsia="es-ES"/>
        </w:rPr>
        <w:t>Rivers No More: The Environmental Effects of Large Dams | International Rivers.” Rivers No More. International Rivers. Web. 01 Apr. 2010. &lt;http://www.internationalrivers.org/en/node/1636&gt;.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TRIWA. “Water Chemistry of Lakes and Rivers.” </w:t>
      </w:r>
      <w:r w:rsidRPr="005E706D">
        <w:rPr>
          <w:rFonts w:ascii="Arial" w:eastAsia="Times New Roman" w:hAnsi="Arial" w:cs="Arial"/>
          <w:i/>
          <w:iCs/>
          <w:sz w:val="20"/>
          <w:szCs w:val="20"/>
          <w:lang w:val="en-GB" w:eastAsia="es-ES"/>
        </w:rPr>
        <w:t>Testing of Preliminary Typology</w:t>
      </w:r>
      <w:r w:rsidRPr="005E706D">
        <w:rPr>
          <w:rFonts w:ascii="Arial" w:eastAsia="Times New Roman" w:hAnsi="Arial" w:cs="Arial"/>
          <w:sz w:val="20"/>
          <w:szCs w:val="20"/>
          <w:lang w:val="en-GB" w:eastAsia="es-ES"/>
        </w:rPr>
        <w:t xml:space="preserve">. European Union, Lapland Regional Environment </w:t>
      </w:r>
      <w:proofErr w:type="spellStart"/>
      <w:r w:rsidRPr="005E706D">
        <w:rPr>
          <w:rFonts w:ascii="Arial" w:eastAsia="Times New Roman" w:hAnsi="Arial" w:cs="Arial"/>
          <w:sz w:val="20"/>
          <w:szCs w:val="20"/>
          <w:lang w:val="en-GB" w:eastAsia="es-ES"/>
        </w:rPr>
        <w:t>Center</w:t>
      </w:r>
      <w:proofErr w:type="spellEnd"/>
      <w:r w:rsidRPr="005E706D">
        <w:rPr>
          <w:rFonts w:ascii="Arial" w:eastAsia="Times New Roman" w:hAnsi="Arial" w:cs="Arial"/>
          <w:sz w:val="20"/>
          <w:szCs w:val="20"/>
          <w:lang w:val="en-GB" w:eastAsia="es-ES"/>
        </w:rPr>
        <w:t xml:space="preserve">, County Administrative Board of </w:t>
      </w:r>
      <w:proofErr w:type="spellStart"/>
      <w:r w:rsidRPr="005E706D">
        <w:rPr>
          <w:rFonts w:ascii="Arial" w:eastAsia="Times New Roman" w:hAnsi="Arial" w:cs="Arial"/>
          <w:sz w:val="20"/>
          <w:szCs w:val="20"/>
          <w:lang w:val="en-GB" w:eastAsia="es-ES"/>
        </w:rPr>
        <w:t>Norrbotten</w:t>
      </w:r>
      <w:proofErr w:type="spellEnd"/>
      <w:r w:rsidRPr="005E706D">
        <w:rPr>
          <w:rFonts w:ascii="Arial" w:eastAsia="Times New Roman" w:hAnsi="Arial" w:cs="Arial"/>
          <w:sz w:val="20"/>
          <w:szCs w:val="20"/>
          <w:lang w:val="en-GB" w:eastAsia="es-ES"/>
        </w:rPr>
        <w:t>, Aug. 2006. Web. 11 Apr. 2010. &lt;http://www.triwa.org/document/typetest_chem.pdf&gt;.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proofErr w:type="spellStart"/>
      <w:r w:rsidRPr="005E706D">
        <w:rPr>
          <w:rFonts w:ascii="Arial" w:eastAsia="Times New Roman" w:hAnsi="Arial" w:cs="Arial"/>
          <w:sz w:val="20"/>
          <w:szCs w:val="20"/>
          <w:lang w:val="en-GB" w:eastAsia="es-ES"/>
        </w:rPr>
        <w:t>Sinohydro</w:t>
      </w:r>
      <w:proofErr w:type="spellEnd"/>
      <w:r w:rsidRPr="005E706D">
        <w:rPr>
          <w:rFonts w:ascii="Arial" w:eastAsia="Times New Roman" w:hAnsi="Arial" w:cs="Arial"/>
          <w:sz w:val="20"/>
          <w:szCs w:val="20"/>
          <w:lang w:val="en-GB" w:eastAsia="es-ES"/>
        </w:rPr>
        <w:t xml:space="preserve"> Corporation. “News Update: Hydropower.” </w:t>
      </w:r>
      <w:r w:rsidRPr="005E706D">
        <w:rPr>
          <w:rFonts w:ascii="Arial" w:eastAsia="Times New Roman" w:hAnsi="Arial" w:cs="Arial"/>
          <w:i/>
          <w:iCs/>
          <w:sz w:val="20"/>
          <w:szCs w:val="20"/>
          <w:lang w:val="en-GB" w:eastAsia="es-ES"/>
        </w:rPr>
        <w:t>Business Sector</w:t>
      </w:r>
      <w:r w:rsidRPr="005E706D">
        <w:rPr>
          <w:rFonts w:ascii="Arial" w:eastAsia="Times New Roman" w:hAnsi="Arial" w:cs="Arial"/>
          <w:sz w:val="20"/>
          <w:szCs w:val="20"/>
          <w:lang w:val="en-GB" w:eastAsia="es-ES"/>
        </w:rPr>
        <w:t xml:space="preserve">. </w:t>
      </w:r>
      <w:proofErr w:type="spellStart"/>
      <w:r w:rsidRPr="005E706D">
        <w:rPr>
          <w:rFonts w:ascii="Arial" w:eastAsia="Times New Roman" w:hAnsi="Arial" w:cs="Arial"/>
          <w:sz w:val="20"/>
          <w:szCs w:val="20"/>
          <w:lang w:val="en-GB" w:eastAsia="es-ES"/>
        </w:rPr>
        <w:t>Sinohydro</w:t>
      </w:r>
      <w:proofErr w:type="spellEnd"/>
      <w:r w:rsidRPr="005E706D">
        <w:rPr>
          <w:rFonts w:ascii="Arial" w:eastAsia="Times New Roman" w:hAnsi="Arial" w:cs="Arial"/>
          <w:sz w:val="20"/>
          <w:szCs w:val="20"/>
          <w:lang w:val="en-GB" w:eastAsia="es-ES"/>
        </w:rPr>
        <w:t xml:space="preserve"> Corporation, 2008. Web. 20 Apr. 2010. &lt;http://eng.sinohydro.com/en/idems/busShow.asp?ArticleID=108&amp;ClassID=57&gt;.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UNEP. “Vital Water Graphics.” </w:t>
      </w:r>
      <w:r w:rsidRPr="005E706D">
        <w:rPr>
          <w:rFonts w:ascii="Arial" w:eastAsia="Times New Roman" w:hAnsi="Arial" w:cs="Arial"/>
          <w:i/>
          <w:iCs/>
          <w:sz w:val="20"/>
          <w:szCs w:val="20"/>
          <w:lang w:val="en-GB" w:eastAsia="es-ES"/>
        </w:rPr>
        <w:t>River Fragmentation and Flow Regulation</w:t>
      </w:r>
      <w:r w:rsidRPr="005E706D">
        <w:rPr>
          <w:rFonts w:ascii="Arial" w:eastAsia="Times New Roman" w:hAnsi="Arial" w:cs="Arial"/>
          <w:sz w:val="20"/>
          <w:szCs w:val="20"/>
          <w:lang w:val="en-GB" w:eastAsia="es-ES"/>
        </w:rPr>
        <w:t>. United Nations Environment Programme (UNEP), 2002. Web. 19 Apr. 2010. &lt;http://www.unep.org/dewa/assessments/ecosystems/water/vitalwater/23.htm&gt;.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proofErr w:type="spellStart"/>
      <w:r w:rsidRPr="005E706D">
        <w:rPr>
          <w:rFonts w:ascii="Arial" w:eastAsia="Times New Roman" w:hAnsi="Arial" w:cs="Arial"/>
          <w:sz w:val="20"/>
          <w:szCs w:val="20"/>
          <w:lang w:val="en-GB" w:eastAsia="es-ES"/>
        </w:rPr>
        <w:t>Welcomme</w:t>
      </w:r>
      <w:proofErr w:type="spellEnd"/>
      <w:r w:rsidRPr="005E706D">
        <w:rPr>
          <w:rFonts w:ascii="Arial" w:eastAsia="Times New Roman" w:hAnsi="Arial" w:cs="Arial"/>
          <w:sz w:val="20"/>
          <w:szCs w:val="20"/>
          <w:lang w:val="en-GB" w:eastAsia="es-ES"/>
        </w:rPr>
        <w:t>, R. L. Fisheries Ecology of Floodplain Rivers. London: Longman, 1979. Print.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Woodward, Richard. “The Dam Site.” The Dam Site. Mar. 2005. Web. 01 Apr. 2010. &lt;http://members.optusnet.com.au/~engineeringgeologist/&gt;.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World Commissions. </w:t>
      </w:r>
      <w:r w:rsidRPr="005E706D">
        <w:rPr>
          <w:rFonts w:ascii="Arial" w:eastAsia="Times New Roman" w:hAnsi="Arial" w:cs="Arial"/>
          <w:i/>
          <w:iCs/>
          <w:sz w:val="20"/>
          <w:szCs w:val="20"/>
          <w:lang w:val="en-GB" w:eastAsia="es-ES"/>
        </w:rPr>
        <w:t xml:space="preserve">Dams and Development: </w:t>
      </w:r>
      <w:proofErr w:type="gramStart"/>
      <w:r w:rsidRPr="005E706D">
        <w:rPr>
          <w:rFonts w:ascii="Arial" w:eastAsia="Times New Roman" w:hAnsi="Arial" w:cs="Arial"/>
          <w:i/>
          <w:iCs/>
          <w:sz w:val="20"/>
          <w:szCs w:val="20"/>
          <w:lang w:val="en-GB" w:eastAsia="es-ES"/>
        </w:rPr>
        <w:t>a</w:t>
      </w:r>
      <w:proofErr w:type="gramEnd"/>
      <w:r w:rsidRPr="005E706D">
        <w:rPr>
          <w:rFonts w:ascii="Arial" w:eastAsia="Times New Roman" w:hAnsi="Arial" w:cs="Arial"/>
          <w:i/>
          <w:iCs/>
          <w:sz w:val="20"/>
          <w:szCs w:val="20"/>
          <w:lang w:val="en-GB" w:eastAsia="es-ES"/>
        </w:rPr>
        <w:t xml:space="preserve"> New Framework for Decision-making</w:t>
      </w:r>
      <w:r w:rsidRPr="005E706D">
        <w:rPr>
          <w:rFonts w:ascii="Arial" w:eastAsia="Times New Roman" w:hAnsi="Arial" w:cs="Arial"/>
          <w:sz w:val="20"/>
          <w:szCs w:val="20"/>
          <w:lang w:val="en-GB" w:eastAsia="es-ES"/>
        </w:rPr>
        <w:t>. UK &amp; USA: Earthscan Publications, 2000. Print.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WRF. “Ghana: What’s Hidden behind the Bui Dam Project?” </w:t>
      </w:r>
      <w:r w:rsidRPr="005E706D">
        <w:rPr>
          <w:rFonts w:ascii="Arial" w:eastAsia="Times New Roman" w:hAnsi="Arial" w:cs="Arial"/>
          <w:i/>
          <w:iCs/>
          <w:sz w:val="20"/>
          <w:szCs w:val="20"/>
          <w:lang w:val="en-GB" w:eastAsia="es-ES"/>
        </w:rPr>
        <w:t>Ghana: Bui Dam</w:t>
      </w:r>
      <w:r w:rsidRPr="005E706D">
        <w:rPr>
          <w:rFonts w:ascii="Arial" w:eastAsia="Times New Roman" w:hAnsi="Arial" w:cs="Arial"/>
          <w:sz w:val="20"/>
          <w:szCs w:val="20"/>
          <w:lang w:val="en-GB" w:eastAsia="es-ES"/>
        </w:rPr>
        <w:t>. World Rainforest Movement, May 2001. Web. 20 Apr. 2010. &lt;http://www.wrm.org.uy/bulletin/46/Ghana.html&gt;.</w:t>
      </w:r>
    </w:p>
    <w:p w:rsidR="005E706D" w:rsidRPr="005E706D" w:rsidRDefault="005E706D" w:rsidP="005E706D">
      <w:pPr>
        <w:autoSpaceDE w:val="0"/>
        <w:autoSpaceDN w:val="0"/>
        <w:adjustRightInd w:val="0"/>
        <w:spacing w:after="0" w:line="240" w:lineRule="auto"/>
        <w:rPr>
          <w:rFonts w:ascii="Arial" w:eastAsia="Times New Roman" w:hAnsi="Arial" w:cs="Arial"/>
          <w:sz w:val="20"/>
          <w:szCs w:val="20"/>
          <w:lang w:val="en-GB" w:eastAsia="es-ES"/>
        </w:rPr>
      </w:pPr>
      <w:r w:rsidRPr="005E706D">
        <w:rPr>
          <w:rFonts w:ascii="Arial" w:eastAsia="Times New Roman" w:hAnsi="Arial" w:cs="Arial"/>
          <w:sz w:val="20"/>
          <w:szCs w:val="20"/>
          <w:lang w:val="en-GB" w:eastAsia="es-ES"/>
        </w:rPr>
        <w:t xml:space="preserve">WWF. “Free-flowing Rivers: Economic Luxury or Ecological Necessity?” </w:t>
      </w:r>
      <w:r w:rsidRPr="005E706D">
        <w:rPr>
          <w:rFonts w:ascii="Arial" w:eastAsia="Times New Roman" w:hAnsi="Arial" w:cs="Arial"/>
          <w:i/>
          <w:iCs/>
          <w:sz w:val="20"/>
          <w:szCs w:val="20"/>
          <w:lang w:val="en-GB" w:eastAsia="es-ES"/>
        </w:rPr>
        <w:t>Access Panda</w:t>
      </w:r>
      <w:r w:rsidRPr="005E706D">
        <w:rPr>
          <w:rFonts w:ascii="Arial" w:eastAsia="Times New Roman" w:hAnsi="Arial" w:cs="Arial"/>
          <w:sz w:val="20"/>
          <w:szCs w:val="20"/>
          <w:lang w:val="en-GB" w:eastAsia="es-ES"/>
        </w:rPr>
        <w:t>. World Wildlife Fund, 2006. Web. 18 Apr. 2010. &lt;http://assets.panda.org/downloads/freeflowingriversreport.pdf&gt;.</w:t>
      </w:r>
    </w:p>
    <w:p w:rsidR="005E706D" w:rsidRPr="005E706D" w:rsidRDefault="005E706D" w:rsidP="005E706D">
      <w:pPr>
        <w:spacing w:after="0" w:line="240" w:lineRule="auto"/>
        <w:rPr>
          <w:rFonts w:ascii="Arial" w:eastAsia="Times New Roman" w:hAnsi="Arial" w:cs="Arial"/>
          <w:sz w:val="20"/>
          <w:szCs w:val="20"/>
          <w:lang w:val="en-GB" w:eastAsia="es-ES"/>
        </w:rPr>
      </w:pPr>
    </w:p>
    <w:p w:rsidR="002A2F8D" w:rsidRDefault="002A2F8D">
      <w:bookmarkStart w:id="1" w:name="_GoBack"/>
      <w:bookmarkEnd w:id="1"/>
    </w:p>
    <w:sectPr w:rsidR="002A2F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C66FB"/>
    <w:multiLevelType w:val="hybridMultilevel"/>
    <w:tmpl w:val="F03CDF62"/>
    <w:lvl w:ilvl="0" w:tplc="2C0A0001">
      <w:start w:val="1"/>
      <w:numFmt w:val="bullet"/>
      <w:lvlText w:val=""/>
      <w:lvlJc w:val="left"/>
      <w:pPr>
        <w:tabs>
          <w:tab w:val="num" w:pos="360"/>
        </w:tabs>
        <w:ind w:left="360" w:hanging="360"/>
      </w:pPr>
      <w:rPr>
        <w:rFonts w:ascii="Symbol" w:hAnsi="Symbol" w:hint="default"/>
      </w:rPr>
    </w:lvl>
    <w:lvl w:ilvl="1" w:tplc="0C0A0019">
      <w:start w:val="1"/>
      <w:numFmt w:val="decimal"/>
      <w:lvlText w:val="%2."/>
      <w:lvlJc w:val="left"/>
      <w:pPr>
        <w:tabs>
          <w:tab w:val="num" w:pos="1080"/>
        </w:tabs>
        <w:ind w:left="1080" w:hanging="360"/>
      </w:pPr>
      <w:rPr>
        <w:rFonts w:cs="Times New Roman"/>
      </w:rPr>
    </w:lvl>
    <w:lvl w:ilvl="2" w:tplc="0C0A001B">
      <w:start w:val="1"/>
      <w:numFmt w:val="decimal"/>
      <w:lvlText w:val="%3."/>
      <w:lvlJc w:val="left"/>
      <w:pPr>
        <w:tabs>
          <w:tab w:val="num" w:pos="1800"/>
        </w:tabs>
        <w:ind w:left="1800" w:hanging="36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decimal"/>
      <w:lvlText w:val="%5."/>
      <w:lvlJc w:val="left"/>
      <w:pPr>
        <w:tabs>
          <w:tab w:val="num" w:pos="3240"/>
        </w:tabs>
        <w:ind w:left="3240" w:hanging="360"/>
      </w:pPr>
      <w:rPr>
        <w:rFonts w:cs="Times New Roman"/>
      </w:rPr>
    </w:lvl>
    <w:lvl w:ilvl="5" w:tplc="0C0A001B">
      <w:start w:val="1"/>
      <w:numFmt w:val="decimal"/>
      <w:lvlText w:val="%6."/>
      <w:lvlJc w:val="left"/>
      <w:pPr>
        <w:tabs>
          <w:tab w:val="num" w:pos="3960"/>
        </w:tabs>
        <w:ind w:left="3960" w:hanging="36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decimal"/>
      <w:lvlText w:val="%8."/>
      <w:lvlJc w:val="left"/>
      <w:pPr>
        <w:tabs>
          <w:tab w:val="num" w:pos="5400"/>
        </w:tabs>
        <w:ind w:left="5400" w:hanging="360"/>
      </w:pPr>
      <w:rPr>
        <w:rFonts w:cs="Times New Roman"/>
      </w:rPr>
    </w:lvl>
    <w:lvl w:ilvl="8" w:tplc="0C0A001B">
      <w:start w:val="1"/>
      <w:numFmt w:val="decimal"/>
      <w:lvlText w:val="%9."/>
      <w:lvlJc w:val="left"/>
      <w:pPr>
        <w:tabs>
          <w:tab w:val="num" w:pos="6120"/>
        </w:tabs>
        <w:ind w:left="6120" w:hanging="360"/>
      </w:pPr>
      <w:rPr>
        <w:rFonts w:cs="Times New Roman"/>
      </w:rPr>
    </w:lvl>
  </w:abstractNum>
  <w:abstractNum w:abstractNumId="1" w15:restartNumberingAfterBreak="0">
    <w:nsid w:val="63F87AF0"/>
    <w:multiLevelType w:val="hybridMultilevel"/>
    <w:tmpl w:val="2826A2D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6D"/>
    <w:rsid w:val="002A2F8D"/>
    <w:rsid w:val="002E64A9"/>
    <w:rsid w:val="005E70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86E21-9B58-4BB4-8922-8EDDAB13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2125</Words>
  <Characters>11689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2018-04-16T14:34:00Z</dcterms:created>
  <dcterms:modified xsi:type="dcterms:W3CDTF">2018-04-16T14:34:00Z</dcterms:modified>
</cp:coreProperties>
</file>