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1D2" w:rsidRPr="007F3477" w:rsidRDefault="006C51D2" w:rsidP="006C51D2">
      <w:pPr>
        <w:rPr>
          <w:lang w:val="es-ES_tradnl"/>
        </w:rPr>
      </w:pPr>
    </w:p>
    <w:p w:rsidR="006C51D2" w:rsidRPr="000E32C9" w:rsidRDefault="006C51D2" w:rsidP="006C51D2">
      <w:pPr>
        <w:pStyle w:val="Ttulo2"/>
        <w:numPr>
          <w:ilvl w:val="0"/>
          <w:numId w:val="0"/>
        </w:numPr>
        <w:spacing w:before="0"/>
        <w:rPr>
          <w:rFonts w:ascii="Calibri" w:hAnsi="Calibri"/>
          <w:i w:val="0"/>
        </w:rPr>
      </w:pPr>
      <w:bookmarkStart w:id="0" w:name="_Toc507534656"/>
      <w:r>
        <w:rPr>
          <w:rFonts w:ascii="Calibri" w:hAnsi="Calibri"/>
          <w:i w:val="0"/>
        </w:rPr>
        <w:t>MR</w:t>
      </w:r>
      <w:r w:rsidRPr="000E32C9">
        <w:rPr>
          <w:rFonts w:ascii="Calibri" w:hAnsi="Calibri"/>
          <w:i w:val="0"/>
        </w:rPr>
        <w:t xml:space="preserve">03 </w:t>
      </w:r>
      <w:r>
        <w:rPr>
          <w:rFonts w:ascii="Calibri" w:hAnsi="Calibri"/>
          <w:i w:val="0"/>
        </w:rPr>
        <w:t>–</w:t>
      </w:r>
      <w:r w:rsidRPr="000E32C9">
        <w:rPr>
          <w:rFonts w:ascii="Calibri" w:hAnsi="Calibri"/>
          <w:i w:val="0"/>
        </w:rPr>
        <w:t xml:space="preserve"> </w:t>
      </w:r>
      <w:r>
        <w:rPr>
          <w:rFonts w:ascii="Calibri" w:hAnsi="Calibri"/>
          <w:i w:val="0"/>
        </w:rPr>
        <w:t>Gestión Ambiental</w:t>
      </w:r>
      <w:bookmarkEnd w:id="0"/>
    </w:p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6C51D2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6C51D2" w:rsidRDefault="006C51D2" w:rsidP="008E36D3">
            <w:pPr>
              <w:tabs>
                <w:tab w:val="center" w:pos="2236"/>
              </w:tabs>
              <w:spacing w:before="90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75485" cy="983615"/>
                  <wp:effectExtent l="0" t="0" r="5715" b="6985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51D2" w:rsidRDefault="006C51D2" w:rsidP="008E36D3">
            <w:pPr>
              <w:tabs>
                <w:tab w:val="center" w:pos="2236"/>
              </w:tabs>
              <w:suppressAutoHyphens/>
              <w:spacing w:before="90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UNIVERSIDAD NACIONAL DE CORDOBA</w:t>
            </w:r>
          </w:p>
          <w:p w:rsidR="006C51D2" w:rsidRPr="00BC0D59" w:rsidRDefault="006C51D2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FACULTAD DE CIENCIAS EXACTAS, FÍSICAS Y NATURALESREPUBLICA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spacing w:before="90"/>
              <w:jc w:val="righ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                       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Programa de: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GESTIÓN AMBIENTAL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 w:rsidRPr="00D84F23">
              <w:rPr>
                <w:rFonts w:ascii="Arial" w:hAnsi="Arial"/>
                <w:b/>
                <w:spacing w:val="-3"/>
              </w:rPr>
              <w:t>Código</w:t>
            </w:r>
            <w:r>
              <w:rPr>
                <w:rFonts w:ascii="Arial" w:hAnsi="Arial"/>
                <w:spacing w:val="-3"/>
              </w:rPr>
              <w:t>: MR 03</w:t>
            </w:r>
          </w:p>
        </w:tc>
      </w:tr>
      <w:tr w:rsidR="006C51D2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en Generación de Energías Renovables              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Carga horaria: </w:t>
            </w:r>
            <w:r w:rsidRPr="00E64263">
              <w:rPr>
                <w:rFonts w:ascii="Arial" w:hAnsi="Arial"/>
                <w:spacing w:val="-3"/>
              </w:rPr>
              <w:t>60 horas</w:t>
            </w:r>
            <w:r>
              <w:rPr>
                <w:rFonts w:ascii="Arial" w:hAnsi="Arial"/>
                <w:spacing w:val="-3"/>
              </w:rPr>
              <w:t xml:space="preserve">   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6C51D2" w:rsidTr="008E36D3">
        <w:trPr>
          <w:trHeight w:val="1326"/>
        </w:trPr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jc w:val="both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  Objetivos</w:t>
            </w:r>
            <w:r>
              <w:rPr>
                <w:rFonts w:ascii="Arial" w:hAnsi="Arial"/>
                <w:spacing w:val="-3"/>
              </w:rPr>
              <w:t xml:space="preserve">: </w:t>
            </w:r>
          </w:p>
          <w:p w:rsidR="006C51D2" w:rsidRDefault="006C51D2" w:rsidP="006C51D2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Proporcionar conocimientos sobre la legislación ambiental y las tipologías de administración ambiental, tanto pública como privada, local, nacional e internacional. </w:t>
            </w:r>
          </w:p>
          <w:p w:rsidR="006C51D2" w:rsidRDefault="006C51D2" w:rsidP="006C51D2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Formar al alumno en aquellas figuras institucionales que facilitan la gestión abierta, participativa e intersectorial.</w:t>
            </w:r>
          </w:p>
          <w:p w:rsidR="006C51D2" w:rsidRPr="006D302C" w:rsidRDefault="006C51D2" w:rsidP="008E36D3">
            <w:pPr>
              <w:ind w:left="1004"/>
              <w:jc w:val="both"/>
              <w:rPr>
                <w:rFonts w:ascii="Arial" w:hAnsi="Arial"/>
                <w:spacing w:val="-3"/>
              </w:rPr>
            </w:pPr>
          </w:p>
        </w:tc>
      </w:tr>
      <w:tr w:rsidR="006C51D2" w:rsidTr="008E36D3">
        <w:trPr>
          <w:trHeight w:val="1871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/>
                <w:b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Sintético (títulos del analítico)</w:t>
            </w:r>
            <w:r>
              <w:rPr>
                <w:rFonts w:ascii="Arial" w:hAnsi="Arial"/>
                <w:spacing w:val="-3"/>
              </w:rPr>
              <w:t xml:space="preserve">: </w:t>
            </w:r>
          </w:p>
          <w:p w:rsidR="006C51D2" w:rsidRPr="003855B1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855B1">
              <w:rPr>
                <w:rFonts w:ascii="Arial" w:hAnsi="Arial" w:cs="Arial"/>
              </w:rPr>
              <w:t>Políticas ambientales y sistemas de gestión. Sistemas de gestión ambiental. Elementos del plan de gestión ambiental. Planes, programas de gestión del medio ambiente. Planes estratégicos</w:t>
            </w:r>
          </w:p>
          <w:p w:rsidR="006C51D2" w:rsidRPr="003855B1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855B1">
              <w:rPr>
                <w:rFonts w:ascii="Arial" w:hAnsi="Arial" w:cs="Arial"/>
              </w:rPr>
              <w:t>Instrumentos auxiliares de la gestión ambiental: la evaluación de impacto ambiental, técnicas de generación y evaluación alternativas. Instrumentos de carácter técnico y de carácter social. Instrumentos de prevención en la gestión ambiental. Instrumentos correctivos de la gestión ambiental</w:t>
            </w:r>
          </w:p>
          <w:p w:rsidR="006C51D2" w:rsidRPr="003855B1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855B1">
              <w:rPr>
                <w:rFonts w:ascii="Arial" w:hAnsi="Arial" w:cs="Arial"/>
              </w:rPr>
              <w:t>Evaluaciones de Impacto Ambiental (EIA). Orígenes del EIA. Procedimiento. Alcances. Equipos de trabajo multidisciplinarios. Métodos. Descripción del  entorno afectado. Índices e indicadores ambientales. Predicción y valoración de impactos. Métodos de decisión de evaluación de alternativas</w:t>
            </w:r>
          </w:p>
          <w:p w:rsidR="006C51D2" w:rsidRPr="003855B1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855B1">
              <w:rPr>
                <w:rFonts w:ascii="Arial" w:hAnsi="Arial" w:cs="Arial"/>
              </w:rPr>
              <w:t>Las auditorías ambientales. Concepto. Tipos. Objetivos. Procedimiento. Componentes y Fases. La integración de sistemas y herramientas de gestión con los procesos de producción</w:t>
            </w:r>
          </w:p>
          <w:p w:rsidR="006C51D2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855B1">
              <w:rPr>
                <w:rFonts w:ascii="Arial" w:hAnsi="Arial" w:cs="Arial"/>
              </w:rPr>
              <w:t>Las certificaciones ambientales en el ámbito de las energías</w:t>
            </w:r>
            <w:r w:rsidRPr="00610759">
              <w:rPr>
                <w:rFonts w:ascii="Arial" w:hAnsi="Arial" w:cs="Arial"/>
              </w:rPr>
              <w:t xml:space="preserve"> </w:t>
            </w:r>
            <w:r w:rsidRPr="003855B1">
              <w:rPr>
                <w:rFonts w:ascii="Arial" w:hAnsi="Arial" w:cs="Arial"/>
              </w:rPr>
              <w:t>renovables</w:t>
            </w:r>
          </w:p>
          <w:p w:rsidR="006C51D2" w:rsidRDefault="006C51D2" w:rsidP="006C51D2">
            <w:pPr>
              <w:pStyle w:val="Textoindependien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Otras herramientas de gestión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/>
                <w:spacing w:val="-3"/>
              </w:rPr>
            </w:pPr>
          </w:p>
        </w:tc>
      </w:tr>
      <w:tr w:rsidR="006C51D2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6C51D2" w:rsidRPr="008D6BBF" w:rsidRDefault="006C51D2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Modalidad: </w:t>
            </w:r>
            <w:r w:rsidRPr="008D6BBF">
              <w:rPr>
                <w:rFonts w:ascii="Arial" w:hAnsi="Arial"/>
                <w:spacing w:val="-3"/>
              </w:rPr>
              <w:t>Presencial</w:t>
            </w:r>
          </w:p>
          <w:p w:rsidR="006C51D2" w:rsidRDefault="006C51D2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</w:tc>
      </w:tr>
      <w:tr w:rsidR="006C51D2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analítico</w:t>
            </w:r>
            <w:r>
              <w:rPr>
                <w:rFonts w:ascii="Arial" w:hAnsi="Arial"/>
                <w:spacing w:val="-3"/>
              </w:rPr>
              <w:t xml:space="preserve">: ver más adelante </w:t>
            </w:r>
          </w:p>
          <w:p w:rsidR="006C51D2" w:rsidRDefault="006C51D2" w:rsidP="008E36D3">
            <w:pPr>
              <w:ind w:left="284"/>
              <w:rPr>
                <w:rFonts w:ascii="Arial" w:hAnsi="Arial"/>
              </w:rPr>
            </w:pPr>
          </w:p>
        </w:tc>
      </w:tr>
      <w:tr w:rsidR="006C51D2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  <w:tr w:rsidR="006C51D2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Aprobado por Res.HCD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Modificado/Anulado/ por Res.HCD: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6C51D2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6C51D2" w:rsidRDefault="006C51D2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El Secretario Académico de la Facultad de Ciencias Exactas Físicas y Naturales de la Universidad Nacional de Córdoba certifica que el programa está aprobado por el/los número/s y fecha/s que anteceden. Córdoba,</w:t>
            </w:r>
          </w:p>
          <w:p w:rsidR="006C51D2" w:rsidRDefault="006C51D2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</w:tbl>
    <w:p w:rsidR="006C51D2" w:rsidRDefault="006C51D2" w:rsidP="006C51D2">
      <w:pPr>
        <w:tabs>
          <w:tab w:val="left" w:pos="-720"/>
        </w:tabs>
        <w:suppressAutoHyphens/>
        <w:jc w:val="center"/>
        <w:rPr>
          <w:rFonts w:ascii="Arial" w:hAnsi="Arial"/>
          <w:spacing w:val="-3"/>
        </w:rPr>
      </w:pPr>
      <w:r>
        <w:rPr>
          <w:rFonts w:ascii="Arial" w:hAnsi="Arial"/>
          <w:b/>
          <w:spacing w:val="-3"/>
        </w:rPr>
        <w:br w:type="page"/>
      </w:r>
      <w:r>
        <w:rPr>
          <w:rFonts w:ascii="Arial" w:hAnsi="Arial"/>
          <w:b/>
          <w:spacing w:val="-3"/>
        </w:rPr>
        <w:lastRenderedPageBreak/>
        <w:t>GESTIÓN AMBIENTAL</w:t>
      </w:r>
    </w:p>
    <w:p w:rsidR="006C51D2" w:rsidRPr="007F3477" w:rsidRDefault="006C51D2" w:rsidP="006C51D2">
      <w:pPr>
        <w:tabs>
          <w:tab w:val="center" w:pos="4513"/>
        </w:tabs>
        <w:jc w:val="center"/>
        <w:rPr>
          <w:rFonts w:ascii="Arial" w:hAnsi="Arial" w:cs="Arial"/>
          <w:spacing w:val="-3"/>
        </w:rPr>
      </w:pPr>
    </w:p>
    <w:p w:rsidR="006C51D2" w:rsidRPr="007F3477" w:rsidRDefault="006C51D2" w:rsidP="006C51D2">
      <w:pPr>
        <w:tabs>
          <w:tab w:val="left" w:pos="-7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ANALÍ</w:t>
      </w:r>
      <w:r w:rsidRPr="007F3477">
        <w:rPr>
          <w:rFonts w:ascii="Arial" w:hAnsi="Arial" w:cs="Arial"/>
          <w:b/>
        </w:rPr>
        <w:t>TICO</w:t>
      </w:r>
    </w:p>
    <w:p w:rsidR="006C51D2" w:rsidRPr="007F3477" w:rsidRDefault="006C51D2" w:rsidP="006C51D2">
      <w:pPr>
        <w:tabs>
          <w:tab w:val="left" w:pos="-720"/>
        </w:tabs>
        <w:jc w:val="both"/>
        <w:rPr>
          <w:rFonts w:ascii="Arial" w:hAnsi="Arial" w:cs="Arial"/>
          <w:spacing w:val="-3"/>
        </w:rPr>
      </w:pPr>
    </w:p>
    <w:p w:rsidR="006C51D2" w:rsidRPr="003855B1" w:rsidRDefault="006C51D2" w:rsidP="006C51D2">
      <w:pPr>
        <w:pStyle w:val="Textoindependiente"/>
        <w:ind w:left="360"/>
        <w:rPr>
          <w:rFonts w:ascii="Arial" w:hAnsi="Arial" w:cs="Arial"/>
        </w:rPr>
      </w:pPr>
      <w:r w:rsidRPr="003855B1">
        <w:rPr>
          <w:rFonts w:ascii="Arial" w:hAnsi="Arial" w:cs="Arial"/>
        </w:rPr>
        <w:t>Políticas ambientales y sistemas de gestión. Sistemas de gestión ambiental. Elementos del plan de gestión ambiental. Planes, programas de gestión del medio ambiente. Planes estratégicos</w:t>
      </w:r>
    </w:p>
    <w:p w:rsidR="006C51D2" w:rsidRPr="003855B1" w:rsidRDefault="006C51D2" w:rsidP="006C51D2">
      <w:pPr>
        <w:pStyle w:val="Textoindependiente"/>
        <w:ind w:left="360"/>
        <w:rPr>
          <w:rFonts w:ascii="Arial" w:hAnsi="Arial" w:cs="Arial"/>
        </w:rPr>
      </w:pPr>
      <w:r w:rsidRPr="003855B1">
        <w:rPr>
          <w:rFonts w:ascii="Arial" w:hAnsi="Arial" w:cs="Arial"/>
        </w:rPr>
        <w:t>Instrumentos auxiliares de la gestión ambiental: la evaluación de impacto ambiental, técnicas de generación y evaluación alternativas. Instrumentos de carácter técnico y de carácter social. Instrumentos de prevención en la gestión ambiental. Instrumentos correctivos de la gestión ambiental</w:t>
      </w:r>
    </w:p>
    <w:p w:rsidR="006C51D2" w:rsidRPr="003855B1" w:rsidRDefault="006C51D2" w:rsidP="006C51D2">
      <w:pPr>
        <w:pStyle w:val="Textoindependiente"/>
        <w:ind w:left="360"/>
        <w:rPr>
          <w:rFonts w:ascii="Arial" w:hAnsi="Arial" w:cs="Arial"/>
        </w:rPr>
      </w:pPr>
      <w:r w:rsidRPr="003855B1">
        <w:rPr>
          <w:rFonts w:ascii="Arial" w:hAnsi="Arial" w:cs="Arial"/>
        </w:rPr>
        <w:t>Evaluaciones de Impacto Ambiental (EIA). Orígenes del EIA. Procedimiento. Alcances. Equipos de trabajo multidisciplinarios. Métodos. Descripción del entorno afectado. Índices e indicadores ambientales. Predicción y valoración de impactos. Métodos de decisión de evaluación de alternativas</w:t>
      </w:r>
    </w:p>
    <w:p w:rsidR="006C51D2" w:rsidRPr="003855B1" w:rsidRDefault="006C51D2" w:rsidP="006C51D2">
      <w:pPr>
        <w:pStyle w:val="Textoindependiente"/>
        <w:ind w:left="360"/>
        <w:rPr>
          <w:rFonts w:ascii="Arial" w:hAnsi="Arial" w:cs="Arial"/>
        </w:rPr>
      </w:pPr>
      <w:r w:rsidRPr="003855B1">
        <w:rPr>
          <w:rFonts w:ascii="Arial" w:hAnsi="Arial" w:cs="Arial"/>
        </w:rPr>
        <w:t>Las auditorías ambientales. Concepto. Tipos. Objetivos. Procedimiento. Componentes y Fases. La integración de sistemas y herramientas de gestión con los procesos de producción</w:t>
      </w:r>
    </w:p>
    <w:p w:rsidR="006C51D2" w:rsidRDefault="006C51D2" w:rsidP="006C51D2">
      <w:pPr>
        <w:pStyle w:val="Textoindependiente"/>
        <w:ind w:left="360"/>
        <w:rPr>
          <w:rFonts w:ascii="Arial" w:hAnsi="Arial" w:cs="Arial"/>
        </w:rPr>
      </w:pPr>
      <w:r w:rsidRPr="003855B1">
        <w:rPr>
          <w:rFonts w:ascii="Arial" w:hAnsi="Arial" w:cs="Arial"/>
        </w:rPr>
        <w:t>Las certificaciones ambientales en el ámbito de las energías</w:t>
      </w:r>
      <w:r w:rsidRPr="00610759">
        <w:rPr>
          <w:rFonts w:ascii="Arial" w:hAnsi="Arial" w:cs="Arial"/>
        </w:rPr>
        <w:t xml:space="preserve"> </w:t>
      </w:r>
      <w:r w:rsidRPr="003855B1">
        <w:rPr>
          <w:rFonts w:ascii="Arial" w:hAnsi="Arial" w:cs="Arial"/>
        </w:rPr>
        <w:t>renovables</w:t>
      </w:r>
    </w:p>
    <w:p w:rsidR="006C51D2" w:rsidRDefault="006C51D2" w:rsidP="006C51D2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Otras herramientas de gestión </w:t>
      </w:r>
    </w:p>
    <w:p w:rsidR="006C51D2" w:rsidRDefault="006C51D2" w:rsidP="006C51D2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6C51D2" w:rsidRPr="007F3477" w:rsidRDefault="006C51D2" w:rsidP="006C51D2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6C51D2" w:rsidRPr="007F3477" w:rsidRDefault="006C51D2" w:rsidP="006C51D2">
      <w:pPr>
        <w:tabs>
          <w:tab w:val="center" w:pos="4513"/>
        </w:tabs>
        <w:jc w:val="both"/>
        <w:rPr>
          <w:rFonts w:ascii="Arial" w:hAnsi="Arial" w:cs="Arial"/>
          <w:b/>
          <w:spacing w:val="-3"/>
        </w:rPr>
      </w:pPr>
      <w:r w:rsidRPr="007F3477">
        <w:rPr>
          <w:rFonts w:ascii="Arial" w:hAnsi="Arial" w:cs="Arial"/>
          <w:b/>
          <w:spacing w:val="-3"/>
        </w:rPr>
        <w:t>ACTIVIDADES PRÁCTICAS.</w:t>
      </w:r>
    </w:p>
    <w:p w:rsidR="006C51D2" w:rsidRPr="00974EC3" w:rsidRDefault="006C51D2" w:rsidP="006C51D2">
      <w:pPr>
        <w:rPr>
          <w:rFonts w:ascii="Arial" w:hAnsi="Arial" w:cs="Arial"/>
        </w:rPr>
      </w:pPr>
      <w:r w:rsidRPr="00974EC3">
        <w:rPr>
          <w:rFonts w:ascii="Arial" w:hAnsi="Arial" w:cs="Arial"/>
        </w:rPr>
        <w:t>Se trabajará en pequeños grupos sobre la elaboración de un estudio de impacto ambiental de una fuente renovable de energía, según determinada metodología, variando de grupo a grupo el tipo de fuente y el método a utilizar. Los casos estudiados en cada grupo se presentarán y discuten ante el grupo total.</w:t>
      </w: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</w:rPr>
      </w:pP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</w:rPr>
      </w:pP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</w:rPr>
      </w:pP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7F3477">
        <w:rPr>
          <w:rFonts w:ascii="Arial" w:hAnsi="Arial" w:cs="Arial"/>
          <w:b/>
          <w:bCs/>
          <w:spacing w:val="-2"/>
        </w:rPr>
        <w:t xml:space="preserve">MODALIDAD DE ENSENANZA </w:t>
      </w: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Se desarrollará mediante: 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Clases expositivas, a cargo del docente. 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Presentaciones por parte de los estudiantes sobre temas vinculados con el curso. 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Lecturas individuales y grupales sobre aspectos específicos. 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>Integración de conceptos mediante resolución de problemas.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Asistencia a actividades de laboratorio. </w:t>
      </w:r>
    </w:p>
    <w:p w:rsidR="006C51D2" w:rsidRPr="007F3477" w:rsidRDefault="006C51D2" w:rsidP="006C51D2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 xml:space="preserve">Actividades individuales de consulta. </w:t>
      </w: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rPr>
          <w:rFonts w:ascii="Arial" w:hAnsi="Arial" w:cs="Arial"/>
          <w:bCs/>
          <w:spacing w:val="-2"/>
        </w:rPr>
      </w:pP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</w:p>
    <w:p w:rsidR="006C51D2" w:rsidRPr="007F3477" w:rsidRDefault="006C51D2" w:rsidP="006C51D2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7F3477">
        <w:rPr>
          <w:rFonts w:ascii="Arial" w:hAnsi="Arial" w:cs="Arial"/>
          <w:b/>
          <w:bCs/>
          <w:spacing w:val="-2"/>
        </w:rPr>
        <w:t>MODALIDAD DE ASISTENCIA Y EVALUACION DE LA ASIGNATURA.</w:t>
      </w:r>
    </w:p>
    <w:p w:rsidR="006C51D2" w:rsidRPr="007F3477" w:rsidRDefault="006C51D2" w:rsidP="006C51D2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7F3477">
        <w:rPr>
          <w:rFonts w:ascii="Arial" w:hAnsi="Arial" w:cs="Arial"/>
          <w:snapToGrid w:val="0"/>
        </w:rPr>
        <w:t>La evaluación estará constituida por un promedio de las notas asignadas a dos exámenes parciales teórico – prácticos, los trabajos prácticos individuales y las actividades de laboratorio.</w:t>
      </w: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Las notas de los trabajos prácticos individuales tendrán en cuenta el desarrollo teórico aplicado, la resolución y la puntualidad en la entrega.</w:t>
      </w: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La evaluación de los parciales tendrá en cuenta: el desarrollo teórico aplicado, el uso de herramientas disponibles y los resultados alcanzados.</w:t>
      </w: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  <w:highlight w:val="yellow"/>
        </w:rPr>
      </w:pP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Se establecen como condición de aprobación:</w:t>
      </w:r>
    </w:p>
    <w:p w:rsidR="006C51D2" w:rsidRPr="007F3477" w:rsidRDefault="006C51D2" w:rsidP="006C51D2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Asistencia al 80% de las clases.</w:t>
      </w:r>
    </w:p>
    <w:p w:rsidR="006C51D2" w:rsidRPr="007F3477" w:rsidRDefault="006C51D2" w:rsidP="006C51D2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Todos los trabajos prácticos aprobados</w:t>
      </w:r>
    </w:p>
    <w:p w:rsidR="006C51D2" w:rsidRPr="007F3477" w:rsidRDefault="006C51D2" w:rsidP="006C51D2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Todas las actividades de laboratorio aprobadas</w:t>
      </w:r>
    </w:p>
    <w:p w:rsidR="006C51D2" w:rsidRPr="007F3477" w:rsidRDefault="006C51D2" w:rsidP="006C51D2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Aprobar los exámenes teórico - prácticos</w:t>
      </w: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  <w:highlight w:val="yellow"/>
        </w:rPr>
      </w:pPr>
    </w:p>
    <w:p w:rsidR="006C51D2" w:rsidRPr="007F3477" w:rsidRDefault="006C51D2" w:rsidP="006C51D2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 xml:space="preserve">Ponderación de la nota final: </w:t>
      </w:r>
    </w:p>
    <w:p w:rsidR="006C51D2" w:rsidRPr="007F3477" w:rsidRDefault="006C51D2" w:rsidP="006C51D2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50% Actividades prácticas</w:t>
      </w:r>
      <w:r w:rsidRPr="007F3477">
        <w:rPr>
          <w:rFonts w:ascii="Arial" w:hAnsi="Arial" w:cs="Arial"/>
        </w:rPr>
        <w:t>.</w:t>
      </w:r>
    </w:p>
    <w:p w:rsidR="006C51D2" w:rsidRPr="007F3477" w:rsidRDefault="006C51D2" w:rsidP="006C51D2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50% Promedio Exámenes Teórico – Práctico.</w:t>
      </w:r>
    </w:p>
    <w:p w:rsidR="006C51D2" w:rsidRDefault="006C51D2" w:rsidP="006C51D2">
      <w:pPr>
        <w:tabs>
          <w:tab w:val="center" w:pos="4513"/>
        </w:tabs>
        <w:rPr>
          <w:rFonts w:ascii="Arial" w:hAnsi="Arial" w:cs="Arial"/>
          <w:bCs/>
          <w:spacing w:val="-2"/>
        </w:rPr>
      </w:pPr>
      <w:r w:rsidRPr="007F3477">
        <w:rPr>
          <w:rFonts w:ascii="Arial" w:hAnsi="Arial" w:cs="Arial"/>
          <w:bCs/>
          <w:spacing w:val="-2"/>
        </w:rPr>
        <w:t>Calificación final para aprobación: igual o mayor a 7 (siete).</w:t>
      </w:r>
    </w:p>
    <w:p w:rsidR="006C51D2" w:rsidRPr="00974EC3" w:rsidRDefault="006C51D2" w:rsidP="006C51D2">
      <w:pPr>
        <w:tabs>
          <w:tab w:val="center" w:pos="4513"/>
        </w:tabs>
        <w:rPr>
          <w:rFonts w:ascii="Arial" w:hAnsi="Arial" w:cs="Arial"/>
          <w:bCs/>
          <w:spacing w:val="-2"/>
        </w:rPr>
      </w:pPr>
    </w:p>
    <w:p w:rsidR="006C51D2" w:rsidRPr="007F3477" w:rsidRDefault="006C51D2" w:rsidP="006C51D2">
      <w:pPr>
        <w:tabs>
          <w:tab w:val="center" w:pos="4513"/>
        </w:tabs>
        <w:jc w:val="both"/>
        <w:rPr>
          <w:rFonts w:ascii="Arial" w:hAnsi="Arial" w:cs="Arial"/>
          <w:spacing w:val="-3"/>
        </w:rPr>
      </w:pPr>
    </w:p>
    <w:p w:rsidR="006C51D2" w:rsidRPr="0027121A" w:rsidRDefault="006C51D2" w:rsidP="006C51D2">
      <w:pPr>
        <w:tabs>
          <w:tab w:val="center" w:pos="4513"/>
        </w:tabs>
        <w:jc w:val="both"/>
        <w:rPr>
          <w:rFonts w:ascii="Arial" w:hAnsi="Arial" w:cs="Arial"/>
          <w:b/>
          <w:spacing w:val="-2"/>
          <w:lang w:val="en-GB"/>
        </w:rPr>
      </w:pPr>
      <w:r w:rsidRPr="007F3477">
        <w:rPr>
          <w:rFonts w:ascii="Arial" w:hAnsi="Arial" w:cs="Arial"/>
          <w:spacing w:val="-3"/>
        </w:rPr>
        <w:tab/>
      </w:r>
      <w:r w:rsidRPr="0027121A">
        <w:rPr>
          <w:rFonts w:ascii="Arial" w:hAnsi="Arial" w:cs="Arial"/>
          <w:b/>
          <w:spacing w:val="-3"/>
          <w:lang w:val="en-GB"/>
        </w:rPr>
        <w:t>BIBLIOGRAFÍA</w:t>
      </w:r>
    </w:p>
    <w:p w:rsidR="006C51D2" w:rsidRPr="0027121A" w:rsidRDefault="006C51D2" w:rsidP="006C51D2">
      <w:pPr>
        <w:tabs>
          <w:tab w:val="left" w:pos="-720"/>
        </w:tabs>
        <w:jc w:val="both"/>
        <w:rPr>
          <w:rFonts w:ascii="Arial" w:hAnsi="Arial" w:cs="Arial"/>
          <w:b/>
          <w:spacing w:val="-3"/>
          <w:lang w:val="en-GB"/>
        </w:rPr>
      </w:pPr>
    </w:p>
    <w:p w:rsidR="006C51D2" w:rsidRPr="0027121A" w:rsidRDefault="006C51D2" w:rsidP="006C51D2">
      <w:pPr>
        <w:rPr>
          <w:rFonts w:ascii="Arial" w:hAnsi="Arial" w:cs="Arial"/>
          <w:bCs/>
          <w:iCs/>
          <w:lang w:val="en-GB"/>
        </w:rPr>
      </w:pPr>
      <w:r w:rsidRPr="0027121A">
        <w:rPr>
          <w:rFonts w:ascii="Arial" w:hAnsi="Arial" w:cs="Arial"/>
          <w:bCs/>
          <w:iCs/>
          <w:lang w:val="en-GB"/>
        </w:rPr>
        <w:t>- “Energy policies of IEA countries. Finland. 2013 Review”,ISSN: 1990-0082, Paris. OECD/IEA (2013).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A20C26">
        <w:rPr>
          <w:rFonts w:ascii="Arial" w:hAnsi="Arial" w:cs="Arial"/>
          <w:bCs/>
          <w:iCs/>
        </w:rPr>
        <w:t xml:space="preserve">- </w:t>
      </w:r>
      <w:r w:rsidRPr="00974EC3">
        <w:rPr>
          <w:rFonts w:ascii="Arial" w:hAnsi="Arial" w:cs="Arial"/>
          <w:bCs/>
          <w:iCs/>
        </w:rPr>
        <w:t xml:space="preserve">Di Paola María Eugenia, (2002). Hacia la construcción de un Programa de Aplicación y Cumplimiento de la Normativa Ambiental en América Latina. Documento FARN. 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 Dromi, Roberto, (1994). Derecho Administrativo Económico (Tomo II).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Estrada Oyuela R. y Zeballos de Sisto M A.Z, (1994). Evolución Reciente del Derecho Ambiental Internacional,. Editora, Buenos Aires.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Iribarren, Federico Jesús, (1997). Evaluación de Impacto Ambiental. Su enfoque jurídico. Ed. Universo. Buenos    Aires, 1ª Edición. 282 pp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Brickley J.: “Economía empresarial. Arquitectura de la Organización”. Editorial Mc Graw Hill, 2012.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Cámara Argentina de las Energías Renovables: Estado de la Industria Eólica en Argentina 2009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Carracedo, A.: Decisiones financieras: influencias subjetivas. Primera edición. Editorial Ross, 2010.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Energía y desarrollo sustentable en América Latina y el Caribe. Guía para la fomulación de políticas energéticas. Primera Edición CEPAL, GTZ, OL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974EC3">
        <w:rPr>
          <w:rFonts w:ascii="Arial" w:hAnsi="Arial" w:cs="Arial"/>
          <w:bCs/>
          <w:iCs/>
        </w:rPr>
        <w:t xml:space="preserve">- Etkin J.: “Gestión de la complejidad en las organizaciones”. </w:t>
      </w:r>
      <w:r w:rsidRPr="00C06E2D">
        <w:rPr>
          <w:rFonts w:ascii="Arial" w:hAnsi="Arial" w:cs="Arial"/>
          <w:bCs/>
          <w:iCs/>
          <w:lang w:val="en-US"/>
        </w:rPr>
        <w:t>Ed. Granica.  Bs. Aires, 2008.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C06E2D">
        <w:rPr>
          <w:rFonts w:ascii="Arial" w:hAnsi="Arial" w:cs="Arial"/>
          <w:bCs/>
          <w:iCs/>
          <w:lang w:val="en-US"/>
        </w:rPr>
        <w:t xml:space="preserve">- Ferrell O. C., Fraedrich John, Ferrell Linda: “Business Ethics: Ethical Decision Making &amp; Cases”. </w:t>
      </w:r>
      <w:r w:rsidRPr="00974EC3">
        <w:rPr>
          <w:rFonts w:ascii="Arial" w:hAnsi="Arial" w:cs="Arial"/>
          <w:bCs/>
          <w:iCs/>
        </w:rPr>
        <w:t>Ninth Edition,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Franklin: “Organización de Empresas”. Cuarta Edición, Editorial Mc Graw Hill,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Hernandez, R. D.: Desarrollo Económico: las industrias de tecnología avanzada. Ediciones Jorge Baudino, 2004.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Guizar: “Desarrollo Organizacional”. Cuarta Edición, Editorial Mc Graw Hill,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 xml:space="preserve">- Kliksberg B.: “Más Etica, más Desarrollo”. Editorial Temas. Bs Aires, 2005.       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Kouzes J. y Posner B: “Credibilidad”. Editorial Granica. Bs Aires, 1998.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Ley 24.065 SECTOR ELECTRICO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Ley 25.561 EMERGENCIA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 xml:space="preserve">- Ley 25.957 FNEE 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Olcese A. y Alfaro J.: “La Responsabilidad Social: Motor del Cambio Empresarial”. Segunda Edición, Editorial Mc Graw Hill, 2014.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974EC3">
        <w:rPr>
          <w:rFonts w:ascii="Arial" w:hAnsi="Arial" w:cs="Arial"/>
          <w:bCs/>
          <w:iCs/>
        </w:rPr>
        <w:t xml:space="preserve">- Schvarstein Leonardo: “Inteligencia social de las organizaciones”. </w:t>
      </w:r>
      <w:r w:rsidRPr="00C06E2D">
        <w:rPr>
          <w:rFonts w:ascii="Arial" w:hAnsi="Arial" w:cs="Arial"/>
          <w:bCs/>
          <w:iCs/>
          <w:lang w:val="en-US"/>
        </w:rPr>
        <w:t>Ed. Paidós. Bs. Aires, 2006.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C06E2D">
        <w:rPr>
          <w:rFonts w:ascii="Arial" w:hAnsi="Arial" w:cs="Arial"/>
          <w:bCs/>
          <w:iCs/>
          <w:lang w:val="en-US"/>
        </w:rPr>
        <w:t>- Rohan Boyle, C., et Al. Global trends in sustainable energy investment 2008 - Analysis of Trends and Issues in the Financing of Renewable Energy and Energy Efficiency.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Jimenez, G. A.: El Sector Eléctrico en Sudamérica: Estructura de la legislación eléctrica. Comisión Económica para América Latina y el Caribe (CEPAL) 2004.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Brickley J.: “Economía empresarial. Arquitectura de la Organización”. Editorial Mc Graw Hill, 2012.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Cámara Argentina de las Energías Renovables: Estado de la Industria Eólica en Argentina 2009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Carracedo, A.: Decisiones financieras: influencias subjetivas. Primera edición. Editorial Ross, 2010.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Energía y desarrollo sustentable en América Latina y el Caribe. Guía para la fomulación de políticas energéticas. Primera Edición CEPAL, GTZ, OL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974EC3">
        <w:rPr>
          <w:rFonts w:ascii="Arial" w:hAnsi="Arial" w:cs="Arial"/>
          <w:bCs/>
          <w:iCs/>
        </w:rPr>
        <w:t xml:space="preserve">- Etkin J.: “Gestión de la complejidad en las organizaciones”. </w:t>
      </w:r>
      <w:r w:rsidRPr="00C06E2D">
        <w:rPr>
          <w:rFonts w:ascii="Arial" w:hAnsi="Arial" w:cs="Arial"/>
          <w:bCs/>
          <w:iCs/>
          <w:lang w:val="en-US"/>
        </w:rPr>
        <w:t>Ed. Granica.  Bs. Aires, 2008.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C06E2D">
        <w:rPr>
          <w:rFonts w:ascii="Arial" w:hAnsi="Arial" w:cs="Arial"/>
          <w:bCs/>
          <w:iCs/>
          <w:lang w:val="en-US"/>
        </w:rPr>
        <w:t xml:space="preserve">- Ferrell O. C., Fraedrich John, Ferrell Linda: “Business Ethics: Ethical Decision Making &amp; Cases”. </w:t>
      </w:r>
      <w:r w:rsidRPr="00974EC3">
        <w:rPr>
          <w:rFonts w:ascii="Arial" w:hAnsi="Arial" w:cs="Arial"/>
          <w:bCs/>
          <w:iCs/>
        </w:rPr>
        <w:t>Ninth Edition,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Franklin: “Organización de Empresas”. Cuarta Edición, Editorial Mc Graw Hill,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Hernandez, R. D.: Desarrollo Económico: las industrias de tecnología avanzada. Ediciones Jorge Baudino, 2004.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Guizar: “Desarrollo Organizacional”. Cuarta Edición, Editorial Mc Graw Hill, 2013.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 xml:space="preserve">- Kliksberg B.: “Más Etica, más Desarrollo”. Editorial Temas. Bs Aires, 2005.       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Kouzes J. y Posner B: “Credibilidad”. Editorial Granica. Bs Aires, 1998.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Ley 24.065 SECTOR ELECTRICO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Ley 25.561 EMERGENCIA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 xml:space="preserve">- Ley 25.957 FNEE 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t>- Olcese A. y Alfaro J.: “La Responsabilidad Social: Motor del Cambio Empresarial”. Segunda Edición, Editorial Mc Graw Hill, 2014.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974EC3">
        <w:rPr>
          <w:rFonts w:ascii="Arial" w:hAnsi="Arial" w:cs="Arial"/>
          <w:bCs/>
          <w:iCs/>
        </w:rPr>
        <w:t xml:space="preserve">- Schvarstein Leonardo: “Inteligencia social de las organizaciones”. </w:t>
      </w:r>
      <w:r w:rsidRPr="00C06E2D">
        <w:rPr>
          <w:rFonts w:ascii="Arial" w:hAnsi="Arial" w:cs="Arial"/>
          <w:bCs/>
          <w:iCs/>
          <w:lang w:val="en-US"/>
        </w:rPr>
        <w:t>Ed. Paidós. Bs. Aires, 2006.</w:t>
      </w:r>
    </w:p>
    <w:p w:rsidR="006C51D2" w:rsidRPr="00C06E2D" w:rsidRDefault="006C51D2" w:rsidP="006C51D2">
      <w:pPr>
        <w:pStyle w:val="Textoindependiente"/>
        <w:rPr>
          <w:rFonts w:ascii="Arial" w:hAnsi="Arial" w:cs="Arial"/>
          <w:bCs/>
          <w:iCs/>
          <w:lang w:val="en-US"/>
        </w:rPr>
      </w:pPr>
      <w:r w:rsidRPr="00C06E2D">
        <w:rPr>
          <w:rFonts w:ascii="Arial" w:hAnsi="Arial" w:cs="Arial"/>
          <w:bCs/>
          <w:iCs/>
          <w:lang w:val="en-US"/>
        </w:rPr>
        <w:t>- Rohan Boyle, C., et Al. Global trends in sustainable energy investment 2008 - Analysis of Trends and Issues in the Financing of Renewable Energy and Energy Efficiency.</w:t>
      </w:r>
    </w:p>
    <w:p w:rsidR="006C51D2" w:rsidRPr="00974EC3" w:rsidRDefault="006C51D2" w:rsidP="006C51D2">
      <w:pPr>
        <w:pStyle w:val="Textoindependiente"/>
        <w:rPr>
          <w:rFonts w:ascii="Arial" w:hAnsi="Arial" w:cs="Arial"/>
          <w:bCs/>
          <w:iCs/>
        </w:rPr>
      </w:pPr>
      <w:r w:rsidRPr="00974EC3">
        <w:rPr>
          <w:rFonts w:ascii="Arial" w:hAnsi="Arial" w:cs="Arial"/>
          <w:bCs/>
          <w:iCs/>
        </w:rPr>
        <w:lastRenderedPageBreak/>
        <w:t>- Jimenez, G. A.: El Sector Eléctrico en Sudamérica: Estructura de la legislación eléctrica. Comisión Económica para América Latina y el Caribe (CEPAL) 2004.</w:t>
      </w:r>
    </w:p>
    <w:p w:rsidR="002A2F8D" w:rsidRDefault="002A2F8D">
      <w:bookmarkStart w:id="1" w:name="_GoBack"/>
      <w:bookmarkEnd w:id="1"/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1D2" w:rsidRDefault="006C51D2" w:rsidP="006C51D2">
      <w:r>
        <w:separator/>
      </w:r>
    </w:p>
  </w:endnote>
  <w:endnote w:type="continuationSeparator" w:id="0">
    <w:p w:rsidR="006C51D2" w:rsidRDefault="006C51D2" w:rsidP="006C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1D2" w:rsidRDefault="006C51D2" w:rsidP="006C51D2">
      <w:r>
        <w:separator/>
      </w:r>
    </w:p>
  </w:footnote>
  <w:footnote w:type="continuationSeparator" w:id="0">
    <w:p w:rsidR="006C51D2" w:rsidRDefault="006C51D2" w:rsidP="006C5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38E"/>
    <w:multiLevelType w:val="hybridMultilevel"/>
    <w:tmpl w:val="77CA1292"/>
    <w:lvl w:ilvl="0" w:tplc="2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C67F2"/>
    <w:multiLevelType w:val="hybridMultilevel"/>
    <w:tmpl w:val="1C44D994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AF33B20"/>
    <w:multiLevelType w:val="hybridMultilevel"/>
    <w:tmpl w:val="D1E03E74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D2"/>
    <w:rsid w:val="002A2F8D"/>
    <w:rsid w:val="002E64A9"/>
    <w:rsid w:val="006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B7CE6-96A5-4D2E-BE62-10D98A79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C51D2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6C51D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6C51D2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6C51D2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6C51D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6C51D2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6C51D2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6C51D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6C51D2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51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51D2"/>
  </w:style>
  <w:style w:type="paragraph" w:styleId="Piedepgina">
    <w:name w:val="footer"/>
    <w:basedOn w:val="Normal"/>
    <w:link w:val="PiedepginaCar"/>
    <w:uiPriority w:val="99"/>
    <w:unhideWhenUsed/>
    <w:rsid w:val="006C51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51D2"/>
  </w:style>
  <w:style w:type="character" w:customStyle="1" w:styleId="Ttulo1Car">
    <w:name w:val="Título 1 Car"/>
    <w:basedOn w:val="Fuentedeprrafopredeter"/>
    <w:link w:val="Ttulo1"/>
    <w:uiPriority w:val="9"/>
    <w:rsid w:val="006C51D2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C51D2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C51D2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C51D2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6C51D2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6C51D2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6C51D2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6C51D2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6C51D2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6C51D2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C51D2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2018-04-16T14:27:00Z</dcterms:created>
  <dcterms:modified xsi:type="dcterms:W3CDTF">2018-04-16T14:29:00Z</dcterms:modified>
</cp:coreProperties>
</file>