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3F" w:rsidRDefault="00DC293F" w:rsidP="002347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Estatuto Universitario</w:t>
      </w:r>
    </w:p>
    <w:p w:rsidR="00DC293F" w:rsidRDefault="00DC293F" w:rsidP="00DC293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</w:pPr>
    </w:p>
    <w:p w:rsidR="00DC293F" w:rsidRPr="00DC293F" w:rsidRDefault="00DC293F" w:rsidP="00234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C293F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Artículo 50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La designación de un docente con dedicación exclusiva o </w:t>
      </w:r>
      <w:proofErr w:type="spellStart"/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>semiexclusiva</w:t>
      </w:r>
      <w:proofErr w:type="spellEnd"/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deberá incluir: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a)    La fijación de su categoría y el régimen de trabajo.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b)    Las actividades docentes a realizar, que podrán ser de grado o de posgrado.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br/>
        <w:t>c)    Las actividades de investigación científica, tecnológica, literaria, artística, cultural y de extensión universitaria. Dicho plan de actividades será aprobado por el Consejo Directivo de la respectiva Facultad o por el Consejo Superior en aquellos casos en que el docente no dependa de ninguna Facultad.</w:t>
      </w:r>
    </w:p>
    <w:p w:rsidR="00DC293F" w:rsidRPr="00DC293F" w:rsidRDefault="00DC293F" w:rsidP="00234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C293F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Artículo 51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Podrá designarse personal con dedicación exclusiva o </w:t>
      </w:r>
      <w:proofErr w:type="spellStart"/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>semiexclusiva</w:t>
      </w:r>
      <w:proofErr w:type="spellEnd"/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para cumplir actividades de sólo uno (1) de los tipos enumerados en el artículo anterior, por resolución fundada del Consejo Directivo.</w:t>
      </w:r>
    </w:p>
    <w:p w:rsidR="00DC293F" w:rsidRPr="00DC293F" w:rsidRDefault="00DC293F" w:rsidP="00234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C293F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Artículo 52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Los docentes de dedicación exclusiva no podrán realizar tareas ajenas a la Universidad, salvo las excepciones explícitamente autorizadas por los respectivos Consejos Directivos o por el Consejo Superior cuando corresponda. En ambos casos por el voto de la mayoría absoluta de sus miembros.</w:t>
      </w:r>
    </w:p>
    <w:p w:rsidR="00DC293F" w:rsidRPr="00DC293F" w:rsidRDefault="00DC293F" w:rsidP="002347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AR"/>
        </w:rPr>
      </w:pPr>
      <w:r w:rsidRPr="00DC293F">
        <w:rPr>
          <w:rFonts w:ascii="Times New Roman" w:eastAsia="Times New Roman" w:hAnsi="Times New Roman" w:cs="Times New Roman"/>
          <w:b/>
          <w:bCs/>
          <w:sz w:val="24"/>
          <w:szCs w:val="24"/>
          <w:lang w:eastAsia="es-AR"/>
        </w:rPr>
        <w:t>Artículo 53</w:t>
      </w:r>
      <w:r w:rsidRPr="00DC293F">
        <w:rPr>
          <w:rFonts w:ascii="Times New Roman" w:eastAsia="Times New Roman" w:hAnsi="Times New Roman" w:cs="Times New Roman"/>
          <w:sz w:val="24"/>
          <w:szCs w:val="24"/>
          <w:lang w:eastAsia="es-AR"/>
        </w:rPr>
        <w:t xml:space="preserve"> - El Consejo Superior dictará normas generales sobre incompatibilidad de tareas para el personal docente, sobre la base de que las tareas para el personal docente, universitarias o extrauniversitarias no interfieran ni perturben los planes específicos de la Universidad.</w:t>
      </w:r>
    </w:p>
    <w:p w:rsidR="00AF43B2" w:rsidRDefault="00AF43B2" w:rsidP="0023472C">
      <w:pPr>
        <w:jc w:val="both"/>
      </w:pPr>
    </w:p>
    <w:sectPr w:rsidR="00AF43B2" w:rsidSect="00AF43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293F"/>
    <w:rsid w:val="0023472C"/>
    <w:rsid w:val="00AF43B2"/>
    <w:rsid w:val="00DC2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3B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2013-11-08T14:33:00Z</cp:lastPrinted>
  <dcterms:created xsi:type="dcterms:W3CDTF">2013-11-08T14:32:00Z</dcterms:created>
  <dcterms:modified xsi:type="dcterms:W3CDTF">2013-11-08T14:37:00Z</dcterms:modified>
</cp:coreProperties>
</file>